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b/>
          <w:color w:val="000000" w:themeColor="text1"/>
          <w:sz w:val="26"/>
          <w:szCs w:val="26"/>
        </w:rPr>
        <w:outlineLvl w:val="0"/>
      </w:pPr>
      <w:r>
        <w:rPr>
          <w:b/>
          <w:color w:val="000000" w:themeColor="text1"/>
          <w:sz w:val="26"/>
          <w:szCs w:val="26"/>
        </w:rPr>
        <w:t xml:space="preserve">ПРОЕКТ</w:t>
      </w:r>
      <w:r>
        <w:rPr>
          <w:b/>
          <w:color w:val="000000" w:themeColor="text1"/>
          <w:sz w:val="26"/>
          <w:szCs w:val="26"/>
        </w:rPr>
      </w:r>
      <w:r>
        <w:rPr>
          <w:b/>
          <w:color w:val="000000" w:themeColor="text1"/>
          <w:sz w:val="26"/>
          <w:szCs w:val="26"/>
        </w:rPr>
      </w:r>
    </w:p>
    <w:p>
      <w:pPr>
        <w:jc w:val="center"/>
        <w:rPr>
          <w:b/>
          <w:color w:val="000000" w:themeColor="text1"/>
          <w:sz w:val="16"/>
          <w:szCs w:val="16"/>
        </w:rPr>
        <w:outlineLvl w:val="0"/>
      </w:pPr>
      <w:r>
        <w:rPr>
          <w:b/>
          <w:color w:val="000000" w:themeColor="text1"/>
          <w:sz w:val="16"/>
          <w:szCs w:val="16"/>
        </w:rPr>
      </w:r>
      <w:r>
        <w:rPr>
          <w:b/>
          <w:color w:val="000000" w:themeColor="text1"/>
          <w:sz w:val="16"/>
          <w:szCs w:val="16"/>
        </w:rPr>
      </w:r>
      <w:r>
        <w:rPr>
          <w:b/>
          <w:color w:val="000000" w:themeColor="text1"/>
          <w:sz w:val="16"/>
          <w:szCs w:val="16"/>
        </w:rPr>
      </w:r>
    </w:p>
    <w:p>
      <w:pPr>
        <w:jc w:val="center"/>
        <w:rPr>
          <w:b/>
          <w:color w:val="000000" w:themeColor="text1"/>
          <w:sz w:val="16"/>
          <w:szCs w:val="16"/>
        </w:rPr>
        <w:outlineLvl w:val="0"/>
      </w:pPr>
      <w:r>
        <w:rPr>
          <w:b/>
          <w:color w:val="000000" w:themeColor="text1"/>
          <w:sz w:val="16"/>
          <w:szCs w:val="16"/>
        </w:rPr>
      </w:r>
      <w:r>
        <w:rPr>
          <w:b/>
          <w:color w:val="000000" w:themeColor="text1"/>
          <w:sz w:val="16"/>
          <w:szCs w:val="16"/>
        </w:rPr>
      </w:r>
      <w:r>
        <w:rPr>
          <w:b/>
          <w:color w:val="000000" w:themeColor="text1"/>
          <w:sz w:val="16"/>
          <w:szCs w:val="16"/>
        </w:rPr>
      </w:r>
    </w:p>
    <w:p>
      <w:pPr>
        <w:jc w:val="center"/>
        <w:rPr>
          <w:rFonts w:ascii="Arial" w:hAnsi="Arial" w:cs="Arial"/>
          <w:b/>
          <w:color w:val="000000" w:themeColor="text1"/>
        </w:rPr>
        <w:outlineLvl w:val="0"/>
      </w:pPr>
      <w:r>
        <w:rPr>
          <w:rFonts w:ascii="Arial" w:hAnsi="Arial" w:cs="Arial"/>
          <w:b/>
          <w:color w:val="000000" w:themeColor="text1"/>
        </w:rPr>
        <w:t xml:space="preserve">ГУБКИНСКИЙ ГОРОДСКОЙ ОКРУГ</w:t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БЕЛГОРОДСКОЙ ОБЛАСТИ</w:t>
      </w:r>
      <w:r>
        <w:rPr>
          <w:rFonts w:ascii="Arial" w:hAnsi="Arial" w:cs="Arial"/>
          <w:color w:val="000000" w:themeColor="text1"/>
        </w:rPr>
      </w:r>
      <w:r>
        <w:rPr>
          <w:rFonts w:ascii="Arial" w:hAnsi="Arial" w:cs="Arial"/>
          <w:color w:val="000000" w:themeColor="text1"/>
        </w:rPr>
      </w:r>
    </w:p>
    <w:p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jc w:val="center"/>
        <w:rPr>
          <w:rFonts w:ascii="Arial Narrow" w:hAnsi="Arial Narrow" w:cs="Arial"/>
          <w:b/>
          <w:color w:val="000000" w:themeColor="text1"/>
          <w:sz w:val="36"/>
          <w:szCs w:val="36"/>
        </w:rPr>
        <w:outlineLvl w:val="0"/>
      </w:pPr>
      <w:r>
        <w:rPr>
          <w:rFonts w:ascii="Arial Narrow" w:hAnsi="Arial Narrow" w:cs="Arial"/>
          <w:b/>
          <w:color w:val="000000" w:themeColor="text1"/>
          <w:sz w:val="32"/>
          <w:szCs w:val="32"/>
        </w:rPr>
        <w:t xml:space="preserve">АДМИНИСТРАЦИЯ ГУБКИНСКОГО ГОРОДСКОГО ОКРУГА</w:t>
      </w:r>
      <w:r>
        <w:rPr>
          <w:rFonts w:ascii="Arial Narrow" w:hAnsi="Arial Narrow" w:cs="Arial"/>
          <w:b/>
          <w:color w:val="000000" w:themeColor="text1"/>
          <w:sz w:val="36"/>
          <w:szCs w:val="36"/>
        </w:rPr>
      </w:r>
      <w:r>
        <w:rPr>
          <w:rFonts w:ascii="Arial Narrow" w:hAnsi="Arial Narrow" w:cs="Arial"/>
          <w:b/>
          <w:color w:val="000000" w:themeColor="text1"/>
          <w:sz w:val="36"/>
          <w:szCs w:val="36"/>
        </w:rPr>
      </w:r>
    </w:p>
    <w:p>
      <w:pPr>
        <w:jc w:val="center"/>
        <w:rPr>
          <w:rFonts w:ascii="Arial" w:hAnsi="Arial" w:cs="Arial"/>
          <w:b/>
          <w:color w:val="000000" w:themeColor="text1"/>
        </w:rPr>
        <w:outlineLvl w:val="0"/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jc w:val="center"/>
        <w:rPr>
          <w:rFonts w:ascii="Arial" w:hAnsi="Arial" w:cs="Arial"/>
          <w:color w:val="000000" w:themeColor="text1"/>
          <w:sz w:val="32"/>
          <w:szCs w:val="32"/>
        </w:rPr>
        <w:outlineLvl w:val="0"/>
      </w:pPr>
      <w:r>
        <w:rPr>
          <w:rFonts w:ascii="Arial" w:hAnsi="Arial" w:cs="Arial"/>
          <w:color w:val="000000" w:themeColor="text1"/>
          <w:sz w:val="32"/>
          <w:szCs w:val="32"/>
        </w:rPr>
        <w:t xml:space="preserve">П О С Т А Н О В Л Е Н И Е</w:t>
      </w:r>
      <w:r>
        <w:rPr>
          <w:rFonts w:ascii="Arial" w:hAnsi="Arial" w:cs="Arial"/>
          <w:color w:val="000000" w:themeColor="text1"/>
          <w:sz w:val="32"/>
          <w:szCs w:val="32"/>
        </w:rPr>
      </w:r>
      <w:r>
        <w:rPr>
          <w:rFonts w:ascii="Arial" w:hAnsi="Arial" w:cs="Arial"/>
          <w:color w:val="000000" w:themeColor="text1"/>
          <w:sz w:val="32"/>
          <w:szCs w:val="32"/>
        </w:rPr>
      </w:r>
    </w:p>
    <w:p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jc w:val="center"/>
        <w:rPr>
          <w:rFonts w:ascii="Arial" w:hAnsi="Arial" w:cs="Arial"/>
          <w:b/>
          <w:color w:val="000000" w:themeColor="text1"/>
          <w:sz w:val="17"/>
          <w:szCs w:val="17"/>
        </w:rPr>
      </w:pPr>
      <w:r>
        <w:rPr>
          <w:rFonts w:ascii="Arial" w:hAnsi="Arial" w:cs="Arial"/>
          <w:b/>
          <w:color w:val="000000" w:themeColor="text1"/>
          <w:sz w:val="17"/>
          <w:szCs w:val="17"/>
        </w:rPr>
        <w:t xml:space="preserve">Губкин</w:t>
      </w:r>
      <w:r>
        <w:rPr>
          <w:rFonts w:ascii="Arial" w:hAnsi="Arial" w:cs="Arial"/>
          <w:b/>
          <w:color w:val="000000" w:themeColor="text1"/>
          <w:sz w:val="17"/>
          <w:szCs w:val="17"/>
        </w:rPr>
      </w:r>
      <w:r>
        <w:rPr>
          <w:rFonts w:ascii="Arial" w:hAnsi="Arial" w:cs="Arial"/>
          <w:b/>
          <w:color w:val="000000" w:themeColor="text1"/>
          <w:sz w:val="17"/>
          <w:szCs w:val="17"/>
        </w:rPr>
      </w:r>
    </w:p>
    <w:p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 “________” _____________________ 202</w:t>
      </w: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6</w:t>
      </w: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 г.                              </w:t>
      </w:r>
      <w:r>
        <w:rPr>
          <w:rFonts w:ascii="Arial" w:hAnsi="Arial" w:cs="Arial"/>
          <w:b/>
          <w:color w:val="000000" w:themeColor="text1"/>
          <w:sz w:val="18"/>
          <w:szCs w:val="18"/>
        </w:rPr>
        <w:tab/>
      </w:r>
      <w:r>
        <w:rPr>
          <w:rFonts w:ascii="Arial" w:hAnsi="Arial" w:cs="Arial"/>
          <w:b/>
          <w:color w:val="000000" w:themeColor="text1"/>
          <w:sz w:val="18"/>
          <w:szCs w:val="18"/>
        </w:rPr>
        <w:tab/>
        <w:t xml:space="preserve">                         </w:t>
      </w: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            </w:t>
      </w: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 № ___________</w:t>
      </w:r>
      <w:r>
        <w:rPr>
          <w:rFonts w:ascii="Arial" w:hAnsi="Arial" w:cs="Arial"/>
          <w:b/>
          <w:color w:val="000000" w:themeColor="text1"/>
          <w:sz w:val="18"/>
          <w:szCs w:val="18"/>
        </w:rPr>
      </w:r>
      <w:r>
        <w:rPr>
          <w:rFonts w:ascii="Arial" w:hAnsi="Arial" w:cs="Arial"/>
          <w:b/>
          <w:color w:val="000000" w:themeColor="text1"/>
          <w:sz w:val="18"/>
          <w:szCs w:val="18"/>
        </w:rPr>
      </w:r>
    </w:p>
    <w:p>
      <w:pPr>
        <w:jc w:val="center"/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</w:r>
      <w:r>
        <w:rPr>
          <w:color w:val="000000" w:themeColor="text1"/>
          <w:sz w:val="36"/>
          <w:szCs w:val="36"/>
        </w:rPr>
      </w:r>
      <w:r>
        <w:rPr>
          <w:color w:val="000000" w:themeColor="text1"/>
          <w:sz w:val="36"/>
          <w:szCs w:val="36"/>
        </w:rPr>
      </w:r>
    </w:p>
    <w:p>
      <w:pPr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</w:r>
      <w:r>
        <w:rPr>
          <w:color w:val="000000" w:themeColor="text1"/>
          <w:sz w:val="32"/>
          <w:szCs w:val="32"/>
        </w:rPr>
      </w:r>
      <w:r>
        <w:rPr>
          <w:color w:val="000000" w:themeColor="text1"/>
          <w:sz w:val="32"/>
          <w:szCs w:val="32"/>
        </w:rPr>
      </w:r>
    </w:p>
    <w:p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</w:r>
      <w:r>
        <w:rPr>
          <w:b/>
          <w:color w:val="000000" w:themeColor="text1"/>
          <w:sz w:val="28"/>
          <w:szCs w:val="28"/>
        </w:rPr>
      </w:r>
      <w:r>
        <w:rPr>
          <w:b/>
          <w:color w:val="000000" w:themeColor="text1"/>
          <w:sz w:val="28"/>
          <w:szCs w:val="28"/>
        </w:rPr>
      </w:r>
    </w:p>
    <w:p>
      <w:pPr>
        <w:rPr>
          <w:b/>
          <w:bCs/>
          <w:sz w:val="28"/>
          <w:szCs w:val="28"/>
        </w:rPr>
      </w:pPr>
      <w:r>
        <w:rPr>
          <w:color w:val="000000" w:themeColor="text1"/>
        </w:rPr>
      </w:r>
      <w:bookmarkStart w:id="0" w:name="_GoBack"/>
      <w:r>
        <w:rPr>
          <w:color w:val="000000" w:themeColor="text1"/>
        </w:rPr>
      </w:r>
      <w:bookmarkEnd w:id="0"/>
      <w:r>
        <w:rPr>
          <w:b/>
          <w:color w:val="000000" w:themeColor="text1"/>
          <w:sz w:val="28"/>
          <w:szCs w:val="28"/>
        </w:rPr>
        <w:t xml:space="preserve">О мерах по реализации отдельных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положений Федерального закона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от 21 июля 2005 года № 115-ФЗ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«О концессионных соглашениях»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на территории</w:t>
      </w:r>
      <w:r>
        <w:t xml:space="preserve"> </w:t>
      </w:r>
      <w:r>
        <w:rPr>
          <w:b/>
          <w:sz w:val="28"/>
          <w:szCs w:val="28"/>
        </w:rPr>
        <w:t xml:space="preserve">Губкинского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Белгородской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области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8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уководствуясь Федеральным з</w:t>
      </w:r>
      <w:r>
        <w:rPr>
          <w:sz w:val="28"/>
          <w:szCs w:val="28"/>
        </w:rPr>
        <w:t xml:space="preserve">аконом от 21 июля 2005 года № 115-ФЗ «О концессионных соглашениях», Уставом Губкинского городского округа Белгородской области, </w:t>
      </w:r>
      <w:r>
        <w:rPr>
          <w:color w:val="000000"/>
          <w:sz w:val="28"/>
          <w:szCs w:val="28"/>
          <w:lang w:val="ru-RU" w:eastAsia="ru-RU"/>
        </w:rPr>
        <w:fldChar w:fldCharType="begin"/>
      </w:r>
      <w:r>
        <w:rPr>
          <w:color w:val="000000"/>
          <w:sz w:val="28"/>
          <w:szCs w:val="28"/>
          <w:lang w:val="ru-RU" w:eastAsia="ru-RU"/>
        </w:rPr>
        <w:instrText xml:space="preserve">HYPERLINK https://login.consultant.ru/link/?req=doc&amp;base=RLAW404&amp;n=101077&amp;dst=100012 </w:instrText>
      </w:r>
      <w:r>
        <w:rPr>
          <w:color w:val="000000"/>
          <w:sz w:val="28"/>
          <w:szCs w:val="28"/>
          <w:lang w:val="ru-RU" w:eastAsia="ru-RU"/>
        </w:rPr>
        <w:fldChar w:fldCharType="separate"/>
      </w:r>
      <w:r>
        <w:rPr>
          <w:color w:val="000000"/>
          <w:sz w:val="28"/>
          <w:szCs w:val="28"/>
          <w:lang w:val="ru-RU" w:eastAsia="ru-RU"/>
        </w:rPr>
        <w:t xml:space="preserve">Порядк</w:t>
      </w:r>
      <w:r>
        <w:rPr>
          <w:color w:val="000000"/>
          <w:sz w:val="28"/>
          <w:szCs w:val="28"/>
          <w:lang w:val="ru-RU" w:eastAsia="ru-RU"/>
        </w:rPr>
        <w:fldChar w:fldCharType="end"/>
      </w:r>
      <w:r>
        <w:rPr>
          <w:color w:val="000000"/>
          <w:sz w:val="28"/>
          <w:szCs w:val="28"/>
          <w:lang w:val="ru-RU" w:eastAsia="ru-RU"/>
        </w:rPr>
        <w:t xml:space="preserve">ом </w:t>
      </w:r>
      <w:r>
        <w:rPr>
          <w:sz w:val="28"/>
          <w:szCs w:val="28"/>
          <w:lang w:val="ru-RU" w:eastAsia="ru-RU"/>
        </w:rPr>
        <w:t xml:space="preserve">управления и распоряжения имуществом, находящимся в муниципальной собственности Губкинского городского округа</w:t>
      </w:r>
      <w:r>
        <w:rPr>
          <w:sz w:val="28"/>
          <w:szCs w:val="28"/>
          <w:lang w:val="ru-RU" w:eastAsia="ru-RU"/>
        </w:rPr>
        <w:t xml:space="preserve">, утвержденным р</w:t>
      </w:r>
      <w:r>
        <w:rPr>
          <w:sz w:val="28"/>
          <w:szCs w:val="28"/>
          <w:lang w:val="ru-RU" w:eastAsia="ru-RU"/>
        </w:rPr>
        <w:t xml:space="preserve">ешение</w:t>
      </w:r>
      <w:r>
        <w:rPr>
          <w:sz w:val="28"/>
          <w:szCs w:val="28"/>
          <w:lang w:val="ru-RU" w:eastAsia="ru-RU"/>
        </w:rPr>
        <w:t xml:space="preserve">м</w:t>
      </w:r>
      <w:r>
        <w:rPr>
          <w:sz w:val="28"/>
          <w:szCs w:val="28"/>
          <w:lang w:val="ru-RU" w:eastAsia="ru-RU"/>
        </w:rPr>
        <w:t xml:space="preserve"> Совета депутатов Губкинского городского округа Белгородской обл</w:t>
      </w:r>
      <w:r>
        <w:rPr>
          <w:sz w:val="28"/>
          <w:szCs w:val="28"/>
          <w:lang w:val="ru-RU" w:eastAsia="ru-RU"/>
        </w:rPr>
        <w:t xml:space="preserve">асти</w:t>
      </w:r>
      <w:r>
        <w:rPr>
          <w:sz w:val="28"/>
          <w:szCs w:val="28"/>
          <w:lang w:val="ru-RU" w:eastAsia="ru-RU"/>
        </w:rPr>
        <w:t xml:space="preserve"> от 21</w:t>
      </w:r>
      <w:r>
        <w:rPr>
          <w:sz w:val="28"/>
          <w:szCs w:val="28"/>
          <w:lang w:val="ru-RU" w:eastAsia="ru-RU"/>
        </w:rPr>
        <w:t xml:space="preserve"> марта </w:t>
      </w:r>
      <w:r>
        <w:rPr>
          <w:sz w:val="28"/>
          <w:szCs w:val="28"/>
          <w:lang w:val="ru-RU" w:eastAsia="ru-RU"/>
        </w:rPr>
        <w:t xml:space="preserve">2012</w:t>
      </w:r>
      <w:r>
        <w:rPr>
          <w:sz w:val="28"/>
          <w:szCs w:val="28"/>
          <w:lang w:val="ru-RU" w:eastAsia="ru-RU"/>
        </w:rPr>
        <w:t xml:space="preserve"> года</w:t>
      </w:r>
      <w:r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 xml:space="preserve">№</w:t>
      </w:r>
      <w:r>
        <w:rPr>
          <w:sz w:val="28"/>
          <w:szCs w:val="28"/>
          <w:lang w:val="ru-RU" w:eastAsia="ru-RU"/>
        </w:rPr>
        <w:t xml:space="preserve"> 4-нпа</w:t>
      </w:r>
      <w:r>
        <w:rPr>
          <w:sz w:val="28"/>
          <w:szCs w:val="28"/>
          <w:lang w:val="ru-RU" w:eastAsia="ru-RU"/>
        </w:rPr>
        <w:t xml:space="preserve">,</w:t>
      </w:r>
      <w:r>
        <w:rPr>
          <w:sz w:val="28"/>
          <w:szCs w:val="28"/>
        </w:rPr>
        <w:t xml:space="preserve"> в целях повышения эффективности взаимодействия исполнительных органов Белгородской области при рассмотрении предложений лиц, выступающих с инициативой заключения концессионного соглашения, администрация Губкинского городского округа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8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ПОСТАНОВЛЯЕТ: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48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1. Утвердить Порядок формирования и утверждения перечня объектов, в отношении которых планируется заключение концессионных соглашений, концедентом по которым</w:t>
      </w:r>
      <w:r>
        <w:rPr>
          <w:sz w:val="28"/>
          <w:szCs w:val="28"/>
        </w:rPr>
        <w:t xml:space="preserve"> выступает Губкинский городской округ Белгородской области (приложение № 1).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0" w:right="0" w:firstLine="709"/>
        <w:jc w:val="both"/>
        <w:spacing w:line="240" w:lineRule="auto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2. Утвердить перечень отраслевых (функциональных) органов администрации Губкинского городского округа, уполномоченных на рассмотрение предложений лиц, выступающих</w:t>
      </w:r>
      <w:r>
        <w:rPr>
          <w:sz w:val="28"/>
          <w:szCs w:val="28"/>
          <w:highlight w:val="none"/>
        </w:rPr>
        <w:t xml:space="preserve"> с инициативой заключения концессионного соглашения, и на осуществление от имени Губкинского городского округа Белгородской области прав и обязанностей концедента, по направлениям деятельности, связанной с использованием объектов концессионного соглашения </w:t>
      </w:r>
      <w:r>
        <w:rPr>
          <w:sz w:val="28"/>
          <w:szCs w:val="28"/>
        </w:rPr>
        <w:t xml:space="preserve">(приложение № 2)</w:t>
      </w:r>
      <w:r>
        <w:rPr>
          <w:sz w:val="28"/>
          <w:szCs w:val="28"/>
          <w:highlight w:val="none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line="240" w:lineRule="auto"/>
        <w:tabs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3. Утвердить поряд</w:t>
      </w:r>
      <w:r>
        <w:rPr>
          <w:sz w:val="28"/>
          <w:szCs w:val="28"/>
        </w:rPr>
        <w:t xml:space="preserve">ок взаимодействия отраслевых (фу</w:t>
      </w:r>
      <w:r>
        <w:rPr>
          <w:sz w:val="28"/>
          <w:szCs w:val="28"/>
        </w:rPr>
        <w:t xml:space="preserve">нкциональных) органов администрации Губкинского городского округа при рассмотрении </w:t>
      </w:r>
      <w:r>
        <w:rPr>
          <w:sz w:val="28"/>
          <w:szCs w:val="28"/>
        </w:rPr>
        <w:t xml:space="preserve">предложений лиц, выступающих с инициативой за</w:t>
      </w:r>
      <w:r>
        <w:rPr>
          <w:sz w:val="28"/>
          <w:szCs w:val="28"/>
        </w:rPr>
        <w:t xml:space="preserve">ключения концессионного соглашения (приложение № 3).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line="240" w:lineRule="auto"/>
        <w:tabs>
          <w:tab w:val="left" w:pos="0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sz w:val="28"/>
          <w:szCs w:val="20"/>
        </w:rPr>
        <w:t xml:space="preserve">О</w:t>
      </w:r>
      <w:r>
        <w:rPr>
          <w:sz w:val="28"/>
          <w:szCs w:val="20"/>
        </w:rPr>
        <w:t xml:space="preserve">публиковать настоящее постановление </w:t>
      </w:r>
      <w:r>
        <w:rPr>
          <w:sz w:val="28"/>
          <w:szCs w:val="22"/>
        </w:rPr>
        <w:t xml:space="preserve">в  сетевом</w:t>
      </w:r>
      <w:r>
        <w:rPr>
          <w:sz w:val="28"/>
          <w:szCs w:val="22"/>
        </w:rPr>
        <w:t xml:space="preserve">  издании   «Новое время 31» </w:t>
      </w:r>
      <w:r>
        <w:rPr>
          <w:sz w:val="28"/>
          <w:szCs w:val="22"/>
        </w:rPr>
        <w:t xml:space="preserve">(vremya31.ru) и разместить</w:t>
      </w:r>
      <w:r>
        <w:rPr>
          <w:sz w:val="28"/>
          <w:szCs w:val="22"/>
        </w:rPr>
        <w:t xml:space="preserve"> на официальном сайте органов местного </w:t>
      </w:r>
      <w:r>
        <w:rPr>
          <w:sz w:val="28"/>
          <w:szCs w:val="22"/>
        </w:rPr>
        <w:t xml:space="preserve">самоуправления Губкинского городского округа в сети Интернет.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8"/>
        <w:ind w:firstLine="708"/>
        <w:spacing w:line="240" w:lineRule="auto"/>
        <w:rPr>
          <w:sz w:val="28"/>
          <w:szCs w:val="22"/>
        </w:rPr>
        <w:outlineLvl w:val="0"/>
      </w:pPr>
      <w:r>
        <w:rPr>
          <w:sz w:val="28"/>
          <w:szCs w:val="20"/>
        </w:rPr>
        <w:t xml:space="preserve">5. </w:t>
      </w:r>
      <w:r>
        <w:rPr>
          <w:sz w:val="28"/>
          <w:szCs w:val="20"/>
        </w:rPr>
        <w:t xml:space="preserve">Контроль за исполнением постановления возложить на исполняющего обязанности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white"/>
        </w:rPr>
        <w:t xml:space="preserve">заместителя главы администрации, руководителя аппарата администрации</w:t>
      </w:r>
      <w:r>
        <w:rPr>
          <w:rFonts w:ascii="Times New Roman" w:hAnsi="Times New Roman" w:eastAsia="Times New Roman" w:cs="Times New Roman"/>
          <w:color w:val="auto"/>
          <w:sz w:val="32"/>
          <w:szCs w:val="22"/>
        </w:rPr>
        <w:t xml:space="preserve"> </w:t>
      </w:r>
      <w:r>
        <w:rPr>
          <w:sz w:val="28"/>
          <w:szCs w:val="20"/>
        </w:rPr>
        <w:t xml:space="preserve">Губкинского городского округа Шарпило А.В.</w:t>
      </w:r>
      <w:r>
        <w:rPr>
          <w:sz w:val="28"/>
          <w:szCs w:val="20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заместителя главы администрации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по бюджетной политике и финансовому обеспечению, начальника управления финансов и бюджетной политики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Горбач И.И.,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аместителя главы администрации по социальному развитию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Горшкову Е.А.,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</w:rPr>
        <w:t xml:space="preserve">аместителя главы администрации по комплексному развитию сельских территорий и агропромышленному производству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Никулова А.С., председателя комитета градостроительной политики администрации Губкинского городс</w:t>
      </w:r>
      <w:r>
        <w:rPr>
          <w:sz w:val="28"/>
          <w:szCs w:val="20"/>
        </w:rPr>
        <w:t xml:space="preserve">кого округа Губкина Э.Ю., председателя комитета по управлению муниципальной собственностью администрации Губкинского городского округа Викторову О.В., управление экономики и ценовой политики администрации Губкинского городского округа (Литвинова О.В.), </w:t>
      </w:r>
      <w:r>
        <w:rPr>
          <w:sz w:val="28"/>
          <w:szCs w:val="20"/>
        </w:rPr>
        <w:t xml:space="preserve">управление жилищно-коммунального комплекса и систем жизнеобеспечения </w:t>
      </w:r>
      <w:r>
        <w:rPr>
          <w:sz w:val="28"/>
          <w:szCs w:val="20"/>
        </w:rPr>
        <w:t xml:space="preserve">администрации Губкинского городского округа</w:t>
      </w:r>
      <w:r>
        <w:rPr>
          <w:sz w:val="28"/>
          <w:szCs w:val="20"/>
        </w:rPr>
        <w:t xml:space="preserve"> (Черных А.М.).</w:t>
      </w:r>
      <w:r>
        <w:rPr>
          <w:sz w:val="28"/>
          <w:szCs w:val="22"/>
        </w:rPr>
      </w:r>
      <w:r>
        <w:rPr>
          <w:sz w:val="28"/>
          <w:szCs w:val="22"/>
        </w:rPr>
      </w:r>
    </w:p>
    <w:p>
      <w:pPr>
        <w:jc w:val="both"/>
        <w:keepNext/>
        <w:tabs>
          <w:tab w:val="left" w:pos="0" w:leader="none"/>
        </w:tabs>
        <w:rPr>
          <w:sz w:val="28"/>
          <w:szCs w:val="28"/>
        </w:rPr>
        <w:outlineLvl w:val="1"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0" w:leader="none"/>
        </w:tabs>
        <w:rPr>
          <w:sz w:val="28"/>
          <w:szCs w:val="20"/>
        </w:rPr>
      </w:pPr>
      <w:r>
        <w:rPr>
          <w:sz w:val="28"/>
          <w:szCs w:val="20"/>
        </w:rPr>
      </w:r>
      <w:r>
        <w:rPr>
          <w:sz w:val="28"/>
          <w:szCs w:val="20"/>
        </w:rPr>
      </w:r>
      <w:r>
        <w:rPr>
          <w:sz w:val="28"/>
          <w:szCs w:val="20"/>
        </w:rPr>
      </w:r>
    </w:p>
    <w:p>
      <w:pPr>
        <w:jc w:val="both"/>
        <w:tabs>
          <w:tab w:val="left" w:pos="0" w:leader="none"/>
        </w:tabs>
        <w:rPr>
          <w:sz w:val="28"/>
          <w:szCs w:val="20"/>
        </w:rPr>
      </w:pPr>
      <w:r>
        <w:rPr>
          <w:sz w:val="28"/>
          <w:szCs w:val="20"/>
        </w:rPr>
      </w:r>
      <w:r>
        <w:rPr>
          <w:sz w:val="28"/>
          <w:szCs w:val="20"/>
        </w:rPr>
      </w:r>
      <w:r>
        <w:rPr>
          <w:sz w:val="28"/>
          <w:szCs w:val="20"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администрации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Губкинского городского округа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В.Г. Голиков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b/>
        </w:rPr>
      </w:pPr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ind w:firstLine="709"/>
        <w:jc w:val="both"/>
        <w:tabs>
          <w:tab w:val="left" w:pos="993" w:leader="none"/>
        </w:tabs>
      </w:pPr>
      <w:r/>
      <w:r/>
    </w:p>
    <w:p>
      <w:pPr>
        <w:ind w:left="5103" w:right="6"/>
        <w:jc w:val="center"/>
      </w:pPr>
      <w:r>
        <w:br w:type="page" w:clear="all"/>
      </w:r>
      <w:r/>
    </w:p>
    <w:p>
      <w:pPr>
        <w:ind w:left="5103" w:right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№ 1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5103" w:right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5103" w:right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УТВЕРЖДЕН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4677" w:right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постановлением администрации Губкинского городского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4819" w:right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«___»_</w:t>
      </w:r>
      <w:r>
        <w:rPr>
          <w:b/>
          <w:sz w:val="28"/>
          <w:szCs w:val="28"/>
        </w:rPr>
        <w:t xml:space="preserve">___________2026 г. № _____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5103" w:right="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5103" w:right="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5103" w:right="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формирования и утверждения перечня объектов, в отношении которых планируется заключение концессионных соглашений, конц</w:t>
      </w:r>
      <w:r>
        <w:rPr>
          <w:b/>
          <w:bCs/>
          <w:sz w:val="28"/>
          <w:szCs w:val="28"/>
        </w:rPr>
        <w:t xml:space="preserve">едентом по которым выступает Губкинский городской округ Белгородской области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</w:pPr>
      <w:r/>
      <w:r/>
    </w:p>
    <w:p>
      <w:pPr>
        <w:pStyle w:val="965"/>
        <w:numPr>
          <w:ilvl w:val="0"/>
          <w:numId w:val="11"/>
        </w:numPr>
        <w:contextualSpacing/>
        <w:ind w:left="0" w:righ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Порядок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формирования и утверждения перечня объектов, в отношении которых планир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уется заключение концессионных соглашений, концедентом по которым выступает Губкинский городской округ Белгородской области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(далее - Порядок) устанавливает правила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формирования и утверждения перечня объектов, в отношении которых планируется заключение концессионных соглашений, концедентом по которым выступает Губкинский городской округ Белгородской области (далее - Перечень).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965"/>
        <w:numPr>
          <w:ilvl w:val="0"/>
          <w:numId w:val="11"/>
        </w:numPr>
        <w:contextualSpacing/>
        <w:ind w:left="0" w:righ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Основные термины и понятия, используемые в Порядке, применяются в значении, установленном Федеральным законом от 21 июля </w:t>
        <w:br/>
        <w:t xml:space="preserve">2005 года № 115-ФЗ «О концессионных соглашениях» (далее - Федеральный закон № 115-ФЗ).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965"/>
        <w:numPr>
          <w:ilvl w:val="0"/>
          <w:numId w:val="11"/>
        </w:numPr>
        <w:contextualSpacing/>
        <w:ind w:left="0" w:right="0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Формирование Перечня осуществляется управлением экономики и ценовой политики администрации Губкинского городского округа (далее - уполномоченный орган) на основании сведений, предоставляемых отраслевыми (функциональными) органами администрации Губкинского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городского округа Белгородской области (далее - отраслевые (функциональные) органы администрации), в соответствии с отраслевой принадлежностью объектов, в отношении которых планируется заключение концессионных соглашений, на основании пункта 3 настоящего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Порядка.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965"/>
        <w:numPr>
          <w:ilvl w:val="0"/>
          <w:numId w:val="11"/>
        </w:numPr>
        <w:contextualSpacing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Для формирования Перечня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отраслевые (функциональные) органы администрации ежегодно в срок до 10 декабря года, предшествующего году формирования перечня, представляют в уполномоченный орган: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540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1) сведения об объектах, в отношении которых планируется заключение концессионн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ых соглашений, по форме согласно </w:t>
      </w:r>
      <w:hyperlink w:tooltip="#P76" w:anchor="P76" w:history="1">
        <w:r>
          <w:rPr>
            <w:rFonts w:ascii="Times New Roman" w:hAnsi="Times New Roman" w:eastAsia="Times New Roman" w:cs="Times New Roman"/>
            <w:color w:val="000000" w:themeColor="text1"/>
            <w:sz w:val="28"/>
            <w:szCs w:val="28"/>
          </w:rPr>
          <w:t xml:space="preserve">приложению</w:t>
        </w:r>
      </w:hyperlink>
      <w:r>
        <w:rPr>
          <w:rFonts w:ascii="Times New Roman" w:hAnsi="Times New Roman" w:eastAsia="Times New Roman" w:cs="Times New Roman"/>
          <w:sz w:val="28"/>
          <w:szCs w:val="28"/>
        </w:rPr>
        <w:t xml:space="preserve"> к Порядку;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540"/>
        <w:jc w:val="both"/>
        <w:spacing w:before="20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документы, подтверждающие право собственности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городского округа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Белгородской области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 объекты, в отношении которых планируется заключение концессионных соглашений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965"/>
        <w:contextualSpacing/>
        <w:ind w:firstLine="540"/>
        <w:jc w:val="both"/>
        <w:spacing w:before="20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3) сведения о порядке получения копии отчета о техническом обследовании имущества, предлагаемого к включению в Перечень (в случае предоставления для вк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лючения в Перечень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систем).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965"/>
        <w:contextualSpacing/>
        <w:ind w:left="0" w:right="0"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5. Уполномоченный орган рассматривает документы отраслевых (функциональных) органов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администрации, представленные в соответствии с </w:t>
      </w:r>
      <w:hyperlink w:tooltip="#P47" w:anchor="P47" w:history="1">
        <w:r>
          <w:rPr>
            <w:rFonts w:ascii="Times New Roman" w:hAnsi="Times New Roman" w:eastAsia="Times New Roman" w:cs="Times New Roman"/>
            <w:color w:val="000000" w:themeColor="text1"/>
            <w:sz w:val="28"/>
            <w:szCs w:val="28"/>
          </w:rPr>
          <w:t xml:space="preserve">пунктом 4</w:t>
        </w:r>
      </w:hyperlink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настоящего Порядка, и включает сведения об объектах в Перечень, за исключением случаев, указанных в пункте 6 настоящего Порядка.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left="0" w:right="0"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6. Сведения об объектах не включаются уполн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омоченным органом 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еречень в случаях, если: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540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1) объект не относится к объектам, указанным в </w:t>
      </w:r>
      <w:hyperlink r:id="rId15" w:tooltip="https://login.consultant.ru/link/?req=doc&amp;base=LAW&amp;n=512724&amp;dst=100504" w:history="1">
        <w:r>
          <w:rPr>
            <w:rFonts w:ascii="Times New Roman" w:hAnsi="Times New Roman" w:eastAsia="Times New Roman" w:cs="Times New Roman"/>
            <w:sz w:val="28"/>
            <w:szCs w:val="28"/>
          </w:rPr>
          <w:t xml:space="preserve">ча</w:t>
        </w:r>
        <w:r>
          <w:rPr>
            <w:rFonts w:ascii="Times New Roman" w:hAnsi="Times New Roman" w:eastAsia="Times New Roman" w:cs="Times New Roman"/>
            <w:sz w:val="28"/>
            <w:szCs w:val="28"/>
          </w:rPr>
          <w:t xml:space="preserve">с</w:t>
        </w:r>
        <w:r>
          <w:rPr>
            <w:rFonts w:ascii="Times New Roman" w:hAnsi="Times New Roman" w:eastAsia="Times New Roman" w:cs="Times New Roman"/>
            <w:sz w:val="28"/>
            <w:szCs w:val="28"/>
          </w:rPr>
          <w:t xml:space="preserve">ти 1 статьи 4</w:t>
        </w:r>
      </w:hyperlink>
      <w:r>
        <w:rPr>
          <w:rFonts w:ascii="Times New Roman" w:hAnsi="Times New Roman" w:eastAsia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115-ФЗ;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540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2) отраслевыми (функциональными) органами администрации не представлены или представлены в неполном объеме документы, указанные в </w:t>
      </w:r>
      <w:hyperlink w:tooltip="#P47" w:anchor="P47" w:history="1">
        <w:r>
          <w:rPr>
            <w:rFonts w:ascii="Times New Roman" w:hAnsi="Times New Roman" w:eastAsia="Times New Roman" w:cs="Times New Roman"/>
            <w:sz w:val="28"/>
            <w:szCs w:val="28"/>
          </w:rPr>
          <w:t xml:space="preserve">пункте 4</w:t>
        </w:r>
      </w:hyperlink>
      <w:r>
        <w:rPr>
          <w:rFonts w:ascii="Times New Roman" w:hAnsi="Times New Roman" w:eastAsia="Times New Roman" w:cs="Times New Roman"/>
          <w:sz w:val="28"/>
          <w:szCs w:val="28"/>
        </w:rPr>
        <w:t xml:space="preserve"> настоящег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 Порядка;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540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3) отсутствует подтверждение права собственности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городского округа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Белгородской области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 объекты, в отношении которых планируется заключение концессионных соглашений.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left="0" w:right="0"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7. Уполномоченный орган на основании представленных сведений еже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годно в срок до 25 декабря года, предшествующего году утверждения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еречня, формирует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еречень.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540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Перечень ежегодно до 1 февраля текущего календарного года утверждается постановлением администрации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городского округа.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left="0" w:right="0"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8. Уполномоченный орган 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жегодно: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540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1) обеспечивает размещение утвержденного Перечня на официальном сайте органов местного самоуправления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городского округа Белгородской области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информационно-телекоммуникационной сети Интернет и на официальном сайте для размещения сведений о проведении торгов по реализации государственного и муниципального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имущества (</w:t>
      </w:r>
      <w:hyperlink r:id="rId16" w:tooltip="https://torgi.gov.ru" w:history="1">
        <w:r>
          <w:rPr>
            <w:rStyle w:val="959"/>
            <w:rFonts w:ascii="Times New Roman" w:hAnsi="Times New Roman" w:eastAsia="Times New Roman" w:cs="Times New Roman"/>
            <w:color w:val="auto"/>
            <w:sz w:val="28"/>
            <w:szCs w:val="28"/>
            <w:u w:val="none"/>
          </w:rPr>
          <w:t xml:space="preserve">https://torgi.gov.ru</w:t>
        </w:r>
      </w:hyperlink>
      <w:r>
        <w:rPr>
          <w:rFonts w:ascii="Times New Roman" w:hAnsi="Times New Roman" w:eastAsia="Times New Roman" w:cs="Times New Roman"/>
          <w:sz w:val="28"/>
          <w:szCs w:val="28"/>
        </w:rPr>
        <w:t xml:space="preserve">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540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срок до 5 февраля представляет в министерство экономического развития и промышленности Белгородской области утвержденный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еречень.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left="0" w:right="0"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9. Перечень носит информационный характер. Отсутствие в перечне какого-либо объекта не является препятствием для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заключения концессионного соглашения с лицами, выступающими с инициативой заключения концессионного соглашения в соответствии с </w:t>
      </w:r>
      <w:hyperlink r:id="rId17" w:tooltip="https://login.consultant.ru/link/?req=doc&amp;base=LAW&amp;n=512724&amp;dst=199" w:history="1">
        <w:r>
          <w:rPr>
            <w:rFonts w:ascii="Times New Roman" w:hAnsi="Times New Roman" w:eastAsia="Times New Roman" w:cs="Times New Roman"/>
            <w:sz w:val="28"/>
            <w:szCs w:val="28"/>
          </w:rPr>
          <w:t xml:space="preserve">частью 4.1 статьи 37</w:t>
        </w:r>
      </w:hyperlink>
      <w:r>
        <w:rPr>
          <w:rFonts w:ascii="Times New Roman" w:hAnsi="Times New Roman" w:eastAsia="Times New Roman" w:cs="Times New Roman"/>
          <w:sz w:val="28"/>
          <w:szCs w:val="28"/>
        </w:rPr>
        <w:t xml:space="preserve"> и </w:t>
      </w:r>
      <w:hyperlink r:id="rId18" w:tooltip="https://login.consultant.ru/link/?req=doc&amp;base=LAW&amp;n=512724&amp;dst=445" w:history="1">
        <w:r>
          <w:rPr>
            <w:rFonts w:ascii="Times New Roman" w:hAnsi="Times New Roman" w:eastAsia="Times New Roman" w:cs="Times New Roman"/>
            <w:sz w:val="28"/>
            <w:szCs w:val="28"/>
          </w:rPr>
          <w:t xml:space="preserve">статьей 52</w:t>
        </w:r>
      </w:hyperlink>
      <w:r>
        <w:rPr>
          <w:rFonts w:ascii="Times New Roman" w:hAnsi="Times New Roman" w:eastAsia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115-ФЗ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rPr>
          <w:b/>
          <w:color w:val="ffffff" w:themeColor="background1"/>
          <w:sz w:val="28"/>
          <w:szCs w:val="28"/>
        </w:rPr>
      </w:pPr>
      <w:r>
        <w:rPr>
          <w:b/>
          <w:color w:val="ffffff" w:themeColor="background1"/>
          <w:sz w:val="28"/>
          <w:szCs w:val="28"/>
        </w:rPr>
        <w:t xml:space="preserve">На</w:t>
      </w:r>
      <w:r>
        <w:rPr>
          <w:b/>
          <w:color w:val="ffffff" w:themeColor="background1"/>
          <w:sz w:val="28"/>
          <w:szCs w:val="28"/>
        </w:rPr>
        <w:t xml:space="preserve">чальник отдела владения и пользования </w:t>
      </w:r>
      <w:r>
        <w:rPr>
          <w:b/>
          <w:color w:val="ffffff" w:themeColor="background1"/>
          <w:sz w:val="28"/>
          <w:szCs w:val="28"/>
        </w:rPr>
      </w:r>
      <w:r>
        <w:rPr>
          <w:b/>
          <w:color w:val="ffffff" w:themeColor="background1"/>
          <w:sz w:val="28"/>
          <w:szCs w:val="28"/>
        </w:rPr>
      </w:r>
    </w:p>
    <w:p>
      <w:pPr>
        <w:ind w:left="0" w:right="0" w:firstLine="0"/>
        <w:rPr>
          <w:b/>
          <w:color w:val="ffffff" w:themeColor="background1"/>
          <w:sz w:val="28"/>
          <w:szCs w:val="28"/>
        </w:rPr>
      </w:pPr>
      <w:r>
        <w:rPr>
          <w:b/>
          <w:color w:val="ffffff" w:themeColor="background1"/>
          <w:sz w:val="28"/>
          <w:szCs w:val="28"/>
        </w:rPr>
        <w:t xml:space="preserve">муниципальным имуществом</w:t>
      </w:r>
      <w:r>
        <w:rPr>
          <w:b/>
          <w:color w:val="ffffff" w:themeColor="background1"/>
          <w:sz w:val="28"/>
          <w:szCs w:val="28"/>
        </w:rPr>
        <w:tab/>
      </w:r>
      <w:r>
        <w:rPr>
          <w:b/>
          <w:color w:val="ffffff" w:themeColor="background1"/>
          <w:sz w:val="28"/>
          <w:szCs w:val="28"/>
        </w:rPr>
        <w:tab/>
      </w:r>
      <w:r>
        <w:rPr>
          <w:b/>
          <w:color w:val="ffffff" w:themeColor="background1"/>
          <w:sz w:val="28"/>
          <w:szCs w:val="28"/>
        </w:rPr>
        <w:tab/>
        <w:t xml:space="preserve">   </w:t>
      </w:r>
      <w:r>
        <w:rPr>
          <w:b/>
          <w:color w:val="ffffff" w:themeColor="background1"/>
          <w:sz w:val="28"/>
          <w:szCs w:val="28"/>
        </w:rPr>
        <w:tab/>
      </w:r>
      <w:r>
        <w:rPr>
          <w:b/>
          <w:color w:val="ffffff" w:themeColor="background1"/>
          <w:sz w:val="28"/>
          <w:szCs w:val="28"/>
        </w:rPr>
        <w:tab/>
        <w:t xml:space="preserve">     </w:t>
      </w:r>
      <w:r>
        <w:rPr>
          <w:b/>
          <w:color w:val="ffffff" w:themeColor="background1"/>
          <w:sz w:val="28"/>
          <w:szCs w:val="28"/>
        </w:rPr>
        <w:t xml:space="preserve"> </w:t>
      </w:r>
      <w:r>
        <w:rPr>
          <w:b/>
          <w:color w:val="ffffff" w:themeColor="background1"/>
          <w:sz w:val="28"/>
          <w:szCs w:val="28"/>
        </w:rPr>
        <w:t xml:space="preserve">Е.В. Шиповская</w:t>
      </w:r>
      <w:r>
        <w:rPr>
          <w:b/>
          <w:color w:val="ffffff" w:themeColor="background1"/>
          <w:sz w:val="28"/>
          <w:szCs w:val="28"/>
        </w:rPr>
      </w:r>
      <w:r>
        <w:rPr>
          <w:b/>
          <w:color w:val="ffffff" w:themeColor="background1"/>
          <w:sz w:val="28"/>
          <w:szCs w:val="28"/>
        </w:rPr>
      </w:r>
    </w:p>
    <w:p>
      <w:pPr>
        <w:pStyle w:val="965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965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>
      <w:pPr>
        <w:pStyle w:val="96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left="4820"/>
        <w:jc w:val="center"/>
        <w:rPr>
          <w:rFonts w:ascii="Times New Roman" w:hAnsi="Times New Roman" w:cs="Times New Roman"/>
          <w:b/>
          <w:bCs/>
          <w:sz w:val="24"/>
          <w:szCs w:val="24"/>
        </w:rPr>
        <w:outlineLvl w:val="1"/>
      </w:pPr>
      <w:r>
        <w:rPr>
          <w:rFonts w:ascii="Times New Roman" w:hAnsi="Times New Roman" w:eastAsia="Times New Roman" w:cs="Times New Roman"/>
          <w:b/>
          <w:sz w:val="24"/>
          <w:szCs w:val="28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965"/>
        <w:contextualSpacing/>
        <w:ind w:left="4252" w:right="0" w:firstLine="0"/>
        <w:jc w:val="center"/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</w:rPr>
        <w:outlineLvl w:val="1"/>
      </w:pP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Приложение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  <w:highlight w:val="none"/>
        </w:rPr>
      </w:r>
    </w:p>
    <w:p>
      <w:pPr>
        <w:pStyle w:val="965"/>
        <w:contextualSpacing/>
        <w:ind w:left="4252" w:righ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к Порядку 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формирования и утверждения перечня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объектов, в отношении которых планируется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заключение концессионных соглашений,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концедентом по которым выступает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Губкинскиий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 городской округ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965"/>
        <w:contextualSpacing/>
        <w:ind w:left="4252" w:righ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Белгородской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 области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96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6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65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sz w:val="26"/>
          <w:szCs w:val="26"/>
        </w:rPr>
      </w:r>
      <w:bookmarkStart w:id="1" w:name="undefined"/>
      <w:r>
        <w:rPr>
          <w:sz w:val="26"/>
          <w:szCs w:val="26"/>
        </w:rPr>
      </w:r>
      <w:bookmarkEnd w:id="1"/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Перечень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965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объектов, в отношении которы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х планируется заключение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965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концессионных соглашений, концедентом по которым выступает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965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Губкинский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 городской округ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 Белгородской области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965"/>
        <w:contextualSpacing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6"/>
          <w:szCs w:val="36"/>
        </w:rPr>
      </w:r>
      <w:r>
        <w:rPr>
          <w:rFonts w:ascii="Times New Roman" w:hAnsi="Times New Roman" w:cs="Times New Roman"/>
          <w:sz w:val="36"/>
          <w:szCs w:val="36"/>
        </w:rPr>
      </w:r>
    </w:p>
    <w:tbl>
      <w:tblPr>
        <w:tblW w:w="96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67"/>
        <w:gridCol w:w="1555"/>
        <w:gridCol w:w="1195"/>
        <w:gridCol w:w="1191"/>
        <w:gridCol w:w="1474"/>
        <w:gridCol w:w="1077"/>
        <w:gridCol w:w="2575"/>
      </w:tblGrid>
      <w:tr>
        <w:tblPrEx/>
        <w:trPr/>
        <w:tc>
          <w:tcPr>
            <w:tcW w:w="567" w:type="dxa"/>
            <w:vAlign w:val="top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 пп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.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</w:p>
        </w:tc>
        <w:tc>
          <w:tcPr>
            <w:tcW w:w="1555" w:type="dxa"/>
            <w:vAlign w:val="top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Наимено-вание объекта, кадастро-вый номер, адрес и (или) местопо-ложе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ние объекта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</w:p>
        </w:tc>
        <w:tc>
          <w:tcPr>
            <w:tcW w:w="1195" w:type="dxa"/>
            <w:vAlign w:val="top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Сведе-ния о соответ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ствии объекта требова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ниям 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115-ФЗ 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«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О концес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сионных согла-ше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ниях»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</w:p>
        </w:tc>
        <w:tc>
          <w:tcPr>
            <w:tcW w:w="1191" w:type="dxa"/>
            <w:vAlign w:val="top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Вид работ в рамках концес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сионно-го согла-ше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ния (созда-ние или рекон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струк-ция)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</w:p>
        </w:tc>
        <w:tc>
          <w:tcPr>
            <w:tcW w:w="1474" w:type="dxa"/>
            <w:vAlign w:val="top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Техничес-кие и эксплуата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ционные характе-рис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тики объекта, планируе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мые к улучше-нию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</w:p>
        </w:tc>
        <w:tc>
          <w:tcPr>
            <w:tcW w:w="1077" w:type="dxa"/>
            <w:vAlign w:val="top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Плани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руемая сфера приме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нения объекта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</w:p>
        </w:tc>
        <w:tc>
          <w:tcPr>
            <w:tcW w:w="2575" w:type="dxa"/>
            <w:vAlign w:val="top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6"/>
                <w:szCs w:val="26"/>
              </w:rPr>
              <w:t xml:space="preserve">Сведения о земельном участке, на котором планируется реализация концессионного соглашения (кадастровый номер, площадь, вид разрешенного использования, сведения о зонировании по генеральному плану и правилам землепользования и застройки)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</w:p>
        </w:tc>
      </w:tr>
      <w:tr>
        <w:tblPrEx/>
        <w:trPr>
          <w:trHeight w:val="292"/>
        </w:trPr>
        <w:tc>
          <w:tcPr>
            <w:tcW w:w="567" w:type="dxa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W w:w="1555" w:type="dxa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W w:w="1195" w:type="dxa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W w:w="2575" w:type="dxa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965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W w:w="1555" w:type="dxa"/>
            <w:textDirection w:val="lrTb"/>
            <w:noWrap w:val="false"/>
          </w:tcPr>
          <w:p>
            <w:pPr>
              <w:pStyle w:val="965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W w:w="1195" w:type="dxa"/>
            <w:textDirection w:val="lrTb"/>
            <w:noWrap w:val="false"/>
          </w:tcPr>
          <w:p>
            <w:pPr>
              <w:pStyle w:val="965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W w:w="1191" w:type="dxa"/>
            <w:textDirection w:val="lrTb"/>
            <w:noWrap w:val="false"/>
          </w:tcPr>
          <w:p>
            <w:pPr>
              <w:pStyle w:val="965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W w:w="1474" w:type="dxa"/>
            <w:textDirection w:val="lrTb"/>
            <w:noWrap w:val="false"/>
          </w:tcPr>
          <w:p>
            <w:pPr>
              <w:pStyle w:val="965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W w:w="1077" w:type="dxa"/>
            <w:textDirection w:val="lrTb"/>
            <w:noWrap w:val="false"/>
          </w:tcPr>
          <w:p>
            <w:pPr>
              <w:pStyle w:val="965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  <w:tc>
          <w:tcPr>
            <w:tcW w:w="2575" w:type="dxa"/>
            <w:textDirection w:val="lrTb"/>
            <w:noWrap w:val="false"/>
          </w:tcPr>
          <w:p>
            <w:pPr>
              <w:pStyle w:val="965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  <w:r>
              <w:rPr>
                <w:rFonts w:ascii="Times New Roman" w:hAnsi="Times New Roman" w:cs="Times New Roman"/>
                <w:sz w:val="32"/>
                <w:szCs w:val="32"/>
              </w:rPr>
            </w:r>
          </w:p>
        </w:tc>
      </w:tr>
    </w:tbl>
    <w:p>
      <w:pPr>
        <w:contextualSpacing/>
        <w:rPr>
          <w:sz w:val="36"/>
          <w:szCs w:val="36"/>
        </w:rPr>
      </w:pPr>
      <w:r>
        <w:rPr>
          <w:sz w:val="32"/>
          <w:szCs w:val="32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-170"/>
        <w:rPr>
          <w:b/>
          <w:color w:val="ffffff" w:themeColor="background1"/>
          <w:sz w:val="28"/>
          <w:szCs w:val="32"/>
        </w:rPr>
      </w:pPr>
      <w:r>
        <w:rPr>
          <w:b/>
          <w:color w:val="ffffff" w:themeColor="background1"/>
          <w:szCs w:val="28"/>
        </w:rPr>
        <w:t xml:space="preserve">Начальник отдела владения и пользования </w:t>
      </w:r>
      <w:r>
        <w:rPr>
          <w:b/>
          <w:color w:val="ffffff" w:themeColor="background1"/>
          <w:sz w:val="28"/>
          <w:szCs w:val="32"/>
        </w:rPr>
      </w:r>
      <w:r>
        <w:rPr>
          <w:b/>
          <w:color w:val="ffffff" w:themeColor="background1"/>
          <w:sz w:val="28"/>
          <w:szCs w:val="32"/>
        </w:rPr>
      </w:r>
    </w:p>
    <w:p>
      <w:pPr>
        <w:ind w:left="-170"/>
        <w:rPr>
          <w:b/>
          <w:color w:val="ffffff" w:themeColor="background1"/>
          <w:sz w:val="28"/>
          <w:szCs w:val="32"/>
        </w:rPr>
      </w:pPr>
      <w:r>
        <w:rPr>
          <w:b/>
          <w:color w:val="ffffff" w:themeColor="background1"/>
          <w:szCs w:val="28"/>
        </w:rPr>
        <w:t xml:space="preserve">муниципальным имуществом</w:t>
      </w:r>
      <w:r>
        <w:rPr>
          <w:b/>
          <w:color w:val="ffffff" w:themeColor="background1"/>
          <w:szCs w:val="28"/>
        </w:rPr>
        <w:tab/>
      </w:r>
      <w:r>
        <w:rPr>
          <w:b/>
          <w:color w:val="ffffff" w:themeColor="background1"/>
          <w:szCs w:val="28"/>
        </w:rPr>
        <w:tab/>
      </w:r>
      <w:r>
        <w:rPr>
          <w:b/>
          <w:color w:val="ffffff" w:themeColor="background1"/>
          <w:szCs w:val="28"/>
        </w:rPr>
        <w:tab/>
        <w:t xml:space="preserve">   </w:t>
      </w:r>
      <w:r>
        <w:rPr>
          <w:b/>
          <w:color w:val="ffffff" w:themeColor="background1"/>
          <w:szCs w:val="28"/>
        </w:rPr>
        <w:tab/>
      </w:r>
      <w:r>
        <w:rPr>
          <w:b/>
          <w:color w:val="ffffff" w:themeColor="background1"/>
          <w:szCs w:val="28"/>
        </w:rPr>
        <w:tab/>
        <w:t xml:space="preserve">     </w:t>
      </w:r>
      <w:r>
        <w:rPr>
          <w:b/>
          <w:color w:val="ffffff" w:themeColor="background1"/>
          <w:szCs w:val="28"/>
        </w:rPr>
        <w:t xml:space="preserve">                  </w:t>
      </w:r>
      <w:r>
        <w:rPr>
          <w:b/>
          <w:color w:val="ffffff" w:themeColor="background1"/>
          <w:szCs w:val="28"/>
        </w:rPr>
        <w:t xml:space="preserve">Е.В. Шиповская</w:t>
      </w:r>
      <w:r>
        <w:rPr>
          <w:b/>
          <w:color w:val="ffffff" w:themeColor="background1"/>
          <w:sz w:val="28"/>
          <w:szCs w:val="32"/>
        </w:rPr>
      </w:r>
      <w:r>
        <w:rPr>
          <w:b/>
          <w:color w:val="ffffff" w:themeColor="background1"/>
          <w:sz w:val="28"/>
          <w:szCs w:val="32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  <w:sectPr>
          <w:headerReference w:type="default" r:id="rId9"/>
          <w:headerReference w:type="first" r:id="rId10"/>
          <w:footerReference w:type="first" r:id="rId13"/>
          <w:footnotePr/>
          <w:endnotePr/>
          <w:type w:val="nextPage"/>
          <w:pgSz w:w="11906" w:h="16838" w:orient="portrait"/>
          <w:pgMar w:top="1134" w:right="567" w:bottom="1134" w:left="1701" w:header="709" w:footer="709" w:gutter="0"/>
          <w:cols w:num="1" w:sep="0" w:space="720" w:equalWidth="1"/>
          <w:docGrid w:linePitch="360"/>
          <w:titlePg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5103" w:right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 xml:space="preserve">2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5103" w:right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5103" w:right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УТВЕРЖДЕН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4677" w:right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постановлением администрации Губкинского городского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4819" w:right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«___»____________2026 г. № _____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5103" w:right="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5103" w:right="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5103" w:right="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Перечень </w:t>
      </w:r>
      <w:r>
        <w:rPr>
          <w:b/>
          <w:bCs/>
          <w:sz w:val="28"/>
          <w:szCs w:val="28"/>
          <w:highlight w:val="none"/>
        </w:rPr>
        <w:t xml:space="preserve">отраслевых (функциональных) органов</w:t>
      </w:r>
      <w:r>
        <w:rPr>
          <w:sz w:val="28"/>
          <w:szCs w:val="28"/>
          <w:highlight w:val="none"/>
        </w:rPr>
        <w:t xml:space="preserve"> </w:t>
      </w:r>
      <w:r>
        <w:rPr>
          <w:b/>
          <w:bCs/>
          <w:sz w:val="28"/>
          <w:szCs w:val="28"/>
          <w:highlight w:val="none"/>
        </w:rPr>
        <w:t xml:space="preserve"> администрации Губкинского городского округа, уполномоченных на рассмотрение предложений лиц, выступающи</w:t>
      </w:r>
      <w:r>
        <w:rPr>
          <w:b/>
          <w:bCs/>
          <w:sz w:val="28"/>
          <w:szCs w:val="28"/>
          <w:highlight w:val="none"/>
        </w:rPr>
        <w:t xml:space="preserve">х с инициативой заключения концессионного соглашения, и на осуществление от имени Губкинского городского округа Белгородской области прав и обязанностей концедента, по направлениям деятельности, связанной с использованием объектов концессионного соглашения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tbl>
      <w:tblPr>
        <w:tblW w:w="96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50"/>
        <w:gridCol w:w="5313"/>
        <w:gridCol w:w="3471"/>
      </w:tblGrid>
      <w:tr>
        <w:tblPrEx/>
        <w:trPr/>
        <w:tc>
          <w:tcPr>
            <w:tcW w:w="850" w:type="dxa"/>
            <w:vAlign w:val="top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 пп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</w:tc>
        <w:tc>
          <w:tcPr>
            <w:tcW w:w="5313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Объекты концессионного соглашения в соответствии с частью 1 статьи 4 Федерального закона от 21 июля </w:t>
              <w:br/>
              <w:t xml:space="preserve">2005 года № 115-ФЗ «О концессионных соглашениях»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W w:w="3471" w:type="dxa"/>
            <w:vAlign w:val="top"/>
            <w:textDirection w:val="lrTb"/>
            <w:noWrap w:val="false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О</w:t>
            </w:r>
            <w:r>
              <w:rPr>
                <w:b/>
                <w:bCs/>
                <w:color w:val="000000" w:themeColor="text1"/>
                <w:sz w:val="28"/>
                <w:szCs w:val="28"/>
                <w:highlight w:val="none"/>
              </w:rPr>
              <w:t xml:space="preserve">траслевой (функциональный) орган </w:t>
            </w:r>
            <w:r>
              <w:rPr>
                <w:b/>
                <w:bCs/>
                <w:sz w:val="28"/>
                <w:szCs w:val="28"/>
                <w:highlight w:val="none"/>
              </w:rPr>
              <w:t xml:space="preserve">администрации Губкинского городского округа</w:t>
            </w: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</w:tr>
    </w:tbl>
    <w:p>
      <w:pPr>
        <w:jc w:val="center"/>
        <w:rPr>
          <w:b/>
          <w:bCs/>
          <w:sz w:val="2"/>
          <w:szCs w:val="2"/>
        </w:rPr>
      </w:pPr>
      <w:r>
        <w:rPr>
          <w:b/>
          <w:bCs/>
          <w:sz w:val="2"/>
          <w:szCs w:val="2"/>
        </w:rPr>
      </w:r>
      <w:r>
        <w:rPr>
          <w:b/>
          <w:bCs/>
          <w:sz w:val="2"/>
          <w:szCs w:val="2"/>
        </w:rPr>
      </w:r>
      <w:r>
        <w:rPr>
          <w:b/>
          <w:bCs/>
          <w:sz w:val="2"/>
          <w:szCs w:val="2"/>
        </w:rPr>
      </w:r>
    </w:p>
    <w:tbl>
      <w:tblPr>
        <w:tblW w:w="96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50"/>
        <w:gridCol w:w="5313"/>
        <w:gridCol w:w="3471"/>
      </w:tblGrid>
      <w:tr>
        <w:tblPrEx/>
        <w:trPr>
          <w:trHeight w:val="196"/>
          <w:tblHeader/>
        </w:trPr>
        <w:tc>
          <w:tcPr>
            <w:tcW w:w="850" w:type="dxa"/>
            <w:vAlign w:val="top"/>
            <w:vMerge w:val="restart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</w:p>
        </w:tc>
        <w:tc>
          <w:tcPr>
            <w:tcW w:w="5313" w:type="dxa"/>
            <w:vAlign w:val="top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2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</w:tc>
        <w:tc>
          <w:tcPr>
            <w:tcW w:w="3471" w:type="dxa"/>
            <w:vAlign w:val="top"/>
            <w:vMerge w:val="restart"/>
            <w:textDirection w:val="lrTb"/>
            <w:noWrap w:val="false"/>
          </w:tcPr>
          <w:p>
            <w:pPr>
              <w:contextualSpacing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3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</w:tc>
      </w:tr>
      <w:tr>
        <w:tblPrEx/>
        <w:trPr/>
        <w:tc>
          <w:tcPr>
            <w:tcW w:w="850" w:type="dxa"/>
            <w:vAlign w:val="top"/>
            <w:vMerge w:val="restart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</w:rPr>
            </w:r>
          </w:p>
        </w:tc>
        <w:tc>
          <w:tcPr>
            <w:tcW w:w="5313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Автомобильные дороги или участки автомобильных дорог, защитные дорожные сооружения, иск</w:t>
            </w:r>
            <w:r>
              <w:rPr>
                <w:sz w:val="28"/>
                <w:szCs w:val="28"/>
              </w:rPr>
              <w:t xml:space="preserve">усственные дорожные сооружения, производственные объекты, то есть объекты, используемые при капитальном ремонте, ремонте, содержании автомобильных дорог, элементы обустройства автомобильных дорог (в том числе остановочные пункты), объекты, предназначенные </w:t>
            </w:r>
            <w:r>
              <w:rPr>
                <w:sz w:val="28"/>
                <w:szCs w:val="28"/>
              </w:rPr>
              <w:t xml:space="preserve">для взимания платы (в том числе пункты взимания платы), объекты дорожного сервиса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</w:tc>
        <w:tc>
          <w:tcPr>
            <w:tcW w:w="347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Комитет градостроительной политики 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</w:tc>
      </w:tr>
      <w:tr>
        <w:tblPrEx/>
        <w:trPr/>
        <w:tc>
          <w:tcPr>
            <w:tcW w:w="850" w:type="dxa"/>
            <w:vAlign w:val="top"/>
            <w:vMerge w:val="restart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2.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W w:w="5313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Гидротехнические сооружения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W w:w="347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Комитет по управлению муниципальной собственностью 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850" w:type="dxa"/>
            <w:vAlign w:val="top"/>
            <w:vMerge w:val="restart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3.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W w:w="5313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Объекты по производству, передаче и распределению электрической энергии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W w:w="347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white"/>
              </w:rPr>
              <w:t xml:space="preserve">Управление жилищно-коммунального комплекса и систем жизнеобеспечения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850" w:type="dxa"/>
            <w:vAlign w:val="top"/>
            <w:vMerge w:val="restart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4.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W w:w="5313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Объекты теплоснабжения, централизованные системы горячего водоснабжения, холодного водоснабжения и (или) водоотведения, отдельные объекты таких систем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W w:w="347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white"/>
              </w:rPr>
              <w:t xml:space="preserve">Управление жилищно-коммунального комплекса и систем жизнеобеспечения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850" w:type="dxa"/>
            <w:vAlign w:val="top"/>
            <w:vMerge w:val="restart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5.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W w:w="5313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Объекты транспортной инфраструктуры и технологически связанные с ними транспортные средства, обеспечивающие деятельность, связанную с перевозками пассажиров транспортом общего пользования, за исключением метрополитена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W w:w="347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white"/>
              </w:rPr>
              <w:t xml:space="preserve">Управление транспорта, связи и телекоммуникаций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850" w:type="dxa"/>
            <w:vAlign w:val="top"/>
            <w:vMerge w:val="restart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6.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W w:w="5313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Объекты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образования,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культуры,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спорта,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 объекты, используемые для организации отдыха граждан и туризма, иные объекты социально-культурного назначения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W w:w="347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Управление образования;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  <w:t xml:space="preserve">управление культуры;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white"/>
              </w:rPr>
              <w:t xml:space="preserve">правление физической культуры и спорта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  <w:t xml:space="preserve">;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  <w:t xml:space="preserve">комитет по управлению муниципальной собственностью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850" w:type="dxa"/>
            <w:vAlign w:val="top"/>
            <w:vMerge w:val="restart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7.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W w:w="5313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Объекты, на которых осуществляются обработка, накопление, утилизация, обезвреживание, размещение твердых коммунальных отходов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W w:w="347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white"/>
              </w:rPr>
              <w:t xml:space="preserve">Управление жилищно-коммунального комплекса и систем жизнеобеспечения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850" w:type="dxa"/>
            <w:vAlign w:val="top"/>
            <w:vMerge w:val="restart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8.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W w:w="5313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Объекты коммунальной инфраструктуры или объекты коммунального хозяйства, не указанные в </w:t>
            </w:r>
            <w:hyperlink w:tooltip="#P113" w:anchor="P113" w:history="1">
              <w:r>
                <w:rPr>
                  <w:color w:val="000000" w:themeColor="text1"/>
                  <w:sz w:val="28"/>
                  <w:szCs w:val="28"/>
                </w:rPr>
                <w:t xml:space="preserve">пунктах 10</w:t>
              </w:r>
            </w:hyperlink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hyperlink w:tooltip="#P115" w:anchor="P115" w:history="1">
              <w:r>
                <w:rPr>
                  <w:color w:val="000000" w:themeColor="text1"/>
                  <w:sz w:val="28"/>
                  <w:szCs w:val="28"/>
                </w:rPr>
                <w:t xml:space="preserve">11</w:t>
              </w:r>
            </w:hyperlink>
            <w:r>
              <w:rPr>
                <w:color w:val="000000" w:themeColor="text1"/>
                <w:sz w:val="28"/>
                <w:szCs w:val="28"/>
              </w:rPr>
              <w:t xml:space="preserve"> и </w:t>
            </w:r>
            <w:hyperlink w:tooltip="#P127" w:anchor="P127" w:history="1">
              <w:r>
                <w:rPr>
                  <w:color w:val="000000" w:themeColor="text1"/>
                  <w:sz w:val="28"/>
                  <w:szCs w:val="28"/>
                </w:rPr>
                <w:t xml:space="preserve">17</w:t>
              </w:r>
            </w:hyperlink>
            <w:r>
              <w:rPr>
                <w:sz w:val="28"/>
                <w:szCs w:val="28"/>
              </w:rPr>
              <w:t xml:space="preserve"> статьи 4 Федерального закона </w:t>
            </w:r>
            <w:r>
              <w:rPr>
                <w:b w:val="0"/>
                <w:bCs w:val="0"/>
                <w:sz w:val="28"/>
                <w:szCs w:val="28"/>
              </w:rPr>
              <w:t xml:space="preserve">от 21 июля </w:t>
              <w:br/>
              <w:t xml:space="preserve">2005 года № 115-ФЗ «О концессионных соглашениях»</w:t>
            </w:r>
            <w:r>
              <w:rPr>
                <w:sz w:val="28"/>
                <w:szCs w:val="28"/>
              </w:rPr>
              <w:t xml:space="preserve">, в том числе объекты энергоснабжения, объекты, предназна-ченные для освещения территорий городских и сельских поселений, объекты, предназначенные для благоустройства территорий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W w:w="347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white"/>
              </w:rPr>
              <w:t xml:space="preserve">Управление жилищно-коммунального комплекса и систем жизнеобеспечения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850" w:type="dxa"/>
            <w:vAlign w:val="top"/>
            <w:vMerge w:val="restart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9.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W w:w="5313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Объекты социального обслуживания граждан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W w:w="347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white"/>
              </w:rPr>
              <w:t xml:space="preserve">Управление социальной политики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850" w:type="dxa"/>
            <w:vAlign w:val="top"/>
            <w:vMerge w:val="restart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10.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W w:w="5313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Объекты газоснабжения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W w:w="347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highlight w:val="white"/>
              </w:rPr>
              <w:t xml:space="preserve">Управление жилищно-коммунального комплекса и систем жизнеобеспечения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850" w:type="dxa"/>
            <w:vAlign w:val="top"/>
            <w:vMerge w:val="restart"/>
            <w:textDirection w:val="lrTb"/>
            <w:noWrap w:val="false"/>
          </w:tcPr>
          <w:p>
            <w:pPr>
              <w:pStyle w:val="965"/>
              <w:contextualSpacing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11.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W w:w="5313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Неиспользуемые объекты культурного наследия (памятники истории и культуры) народов Российской Федерации, включенные в единый государственный </w:t>
            </w:r>
            <w:hyperlink r:id="rId19" w:tooltip="https://login.consultant.ru/link/?req=doc&amp;base=LAW&amp;n=473424&amp;dst=100011" w:history="1">
              <w:r>
                <w:rPr>
                  <w:color w:val="000000" w:themeColor="text1"/>
                  <w:sz w:val="28"/>
                  <w:szCs w:val="28"/>
                </w:rPr>
                <w:t xml:space="preserve">реестр</w:t>
              </w:r>
            </w:hyperlink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объектов культурного наследия (памятников истории и культуры) народов Российской Федерации, находящиеся в неудовлетворительном состоянии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  <w:tc>
          <w:tcPr>
            <w:tcW w:w="347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Управление культуры</w:t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r>
          </w:p>
        </w:tc>
      </w:tr>
    </w:tbl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rPr>
          <w:b/>
          <w:color w:val="ffffff" w:themeColor="background1"/>
          <w:sz w:val="32"/>
          <w:szCs w:val="32"/>
        </w:rPr>
      </w:pPr>
      <w:r>
        <w:rPr>
          <w:b/>
          <w:color w:val="ffffff" w:themeColor="background1"/>
          <w:sz w:val="28"/>
          <w:szCs w:val="28"/>
        </w:rPr>
        <w:t xml:space="preserve">Начальник отдела владения и пользования </w:t>
      </w:r>
      <w:r>
        <w:rPr>
          <w:b/>
          <w:color w:val="ffffff" w:themeColor="background1"/>
          <w:sz w:val="32"/>
          <w:szCs w:val="32"/>
        </w:rPr>
      </w:r>
      <w:r>
        <w:rPr>
          <w:b/>
          <w:color w:val="ffffff" w:themeColor="background1"/>
          <w:sz w:val="32"/>
          <w:szCs w:val="32"/>
        </w:rPr>
      </w:r>
    </w:p>
    <w:p>
      <w:pPr>
        <w:rPr>
          <w:b/>
          <w:color w:val="ffffff" w:themeColor="background1"/>
          <w:sz w:val="32"/>
          <w:szCs w:val="32"/>
        </w:rPr>
      </w:pPr>
      <w:r>
        <w:rPr>
          <w:b/>
          <w:color w:val="ffffff" w:themeColor="background1"/>
          <w:sz w:val="28"/>
          <w:szCs w:val="28"/>
        </w:rPr>
        <w:t xml:space="preserve">муниципальным имуществом</w:t>
      </w:r>
      <w:r>
        <w:rPr>
          <w:b/>
          <w:color w:val="ffffff" w:themeColor="background1"/>
          <w:sz w:val="28"/>
          <w:szCs w:val="28"/>
        </w:rPr>
        <w:tab/>
      </w:r>
      <w:r>
        <w:rPr>
          <w:b/>
          <w:color w:val="ffffff" w:themeColor="background1"/>
          <w:sz w:val="28"/>
          <w:szCs w:val="28"/>
        </w:rPr>
        <w:tab/>
      </w:r>
      <w:r>
        <w:rPr>
          <w:b/>
          <w:color w:val="ffffff" w:themeColor="background1"/>
          <w:sz w:val="28"/>
          <w:szCs w:val="28"/>
        </w:rPr>
        <w:tab/>
        <w:t xml:space="preserve">   </w:t>
      </w:r>
      <w:r>
        <w:rPr>
          <w:b/>
          <w:color w:val="ffffff" w:themeColor="background1"/>
          <w:sz w:val="28"/>
          <w:szCs w:val="28"/>
        </w:rPr>
        <w:tab/>
      </w:r>
      <w:r>
        <w:rPr>
          <w:b/>
          <w:color w:val="ffffff" w:themeColor="background1"/>
          <w:sz w:val="28"/>
          <w:szCs w:val="28"/>
        </w:rPr>
        <w:tab/>
        <w:t xml:space="preserve">   </w:t>
      </w:r>
      <w:r>
        <w:rPr>
          <w:b/>
          <w:color w:val="ffffff" w:themeColor="background1"/>
          <w:sz w:val="28"/>
          <w:szCs w:val="28"/>
        </w:rPr>
        <w:t xml:space="preserve"> </w:t>
      </w:r>
      <w:r>
        <w:rPr>
          <w:b/>
          <w:color w:val="ffffff" w:themeColor="background1"/>
          <w:sz w:val="28"/>
          <w:szCs w:val="28"/>
        </w:rPr>
        <w:t xml:space="preserve">  Е.В. Шиповская</w:t>
      </w:r>
      <w:r>
        <w:rPr>
          <w:b/>
          <w:color w:val="ffffff" w:themeColor="background1"/>
          <w:sz w:val="32"/>
          <w:szCs w:val="32"/>
        </w:rPr>
      </w:r>
      <w:r>
        <w:rPr>
          <w:b/>
          <w:color w:val="ffffff" w:themeColor="background1"/>
          <w:sz w:val="32"/>
          <w:szCs w:val="32"/>
        </w:rPr>
      </w:r>
    </w:p>
    <w:p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contextualSpacing/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5103" w:right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 xml:space="preserve">3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5103" w:right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5103" w:right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УТВЕРЖДЕН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4677" w:right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постановлением администрации Губкинского городского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4819" w:right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«___»____________2026 г. № _____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left="5103" w:right="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5103" w:right="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5103" w:right="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Порядок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взаимодействия отраслевых (функциональных) органов администрации Губкинского городского округа при рассмотрении предложений лиц, выступающих с инициативой заключения концессионного соглашения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66"/>
        <w:contextualSpacing/>
        <w:ind w:firstLine="709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1. Общие положения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Порядок взаимодействия отраслевых (функциональных) органов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при рассмотрении предложений лиц, выступающих с инициативой заключения концессионного соглашения (далее - Порядок), разработан в целях обеспечения взаимодействия отраслевых (функциональных) органов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при рассмотрении предложения лица, выступившего с инициативой заключения концессионного соглашения (далее - инициатор), поступившего в соответствии с </w:t>
      </w:r>
      <w:hyperlink r:id="rId20" w:tooltip="https://login.consultant.ru/link/?req=doc&amp;base=LAW&amp;n=512724&amp;dst=199" w:history="1">
        <w:r>
          <w:rPr>
            <w:rFonts w:ascii="Times New Roman" w:hAnsi="Times New Roman" w:cs="Times New Roman"/>
            <w:sz w:val="28"/>
            <w:szCs w:val="28"/>
          </w:rPr>
          <w:t xml:space="preserve">частью 4.1 статьи 37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21 июля 2005 года </w:t>
      </w:r>
      <w:r>
        <w:rPr>
          <w:rFonts w:ascii="Times New Roman" w:hAnsi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115-ФЗ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О концессионных соглашениях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(далее - Федеральный закон), в отношении реконструируемых объектов, находящихся в собственности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и (или) создаваемых объектов, права собственности на которые будут принадлежать </w:t>
      </w:r>
      <w:r>
        <w:rPr>
          <w:rFonts w:ascii="Times New Roman" w:hAnsi="Times New Roman" w:cs="Times New Roman"/>
          <w:sz w:val="28"/>
          <w:szCs w:val="28"/>
        </w:rPr>
        <w:t xml:space="preserve">Губкинскому</w:t>
      </w:r>
      <w:r>
        <w:rPr>
          <w:rFonts w:ascii="Times New Roman" w:hAnsi="Times New Roman" w:cs="Times New Roman"/>
          <w:sz w:val="28"/>
          <w:szCs w:val="28"/>
        </w:rPr>
        <w:t xml:space="preserve"> городскому округу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Белгородской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по которым концедентом выступает </w:t>
      </w:r>
      <w:r>
        <w:rPr>
          <w:rFonts w:ascii="Times New Roman" w:hAnsi="Times New Roman" w:cs="Times New Roman"/>
          <w:sz w:val="28"/>
          <w:szCs w:val="28"/>
        </w:rPr>
        <w:t xml:space="preserve">Губкинский</w:t>
      </w:r>
      <w:r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Белгородской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В отношении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 Порядок применяется с учетом особенностей, установленных федеральным законодательством.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Понятия, используемые в Порядке, применяются в значении, установленном Федеральным законом.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6"/>
        <w:contextualSpacing/>
        <w:ind w:left="0" w:right="0" w:firstLine="0"/>
        <w:jc w:val="center"/>
        <w:rPr>
          <w:rFonts w:ascii="Times New Roman" w:hAnsi="Times New Roman" w:cs="Times New Roman"/>
          <w:sz w:val="28"/>
          <w:szCs w:val="28"/>
        </w:rPr>
        <w:outlineLvl w:val="1"/>
      </w:pPr>
      <w:r>
        <w:rPr>
          <w:rFonts w:ascii="Times New Roman" w:hAnsi="Times New Roman" w:cs="Times New Roman"/>
          <w:sz w:val="28"/>
          <w:szCs w:val="28"/>
        </w:rPr>
        <w:t xml:space="preserve">2. Рассмотрение предложения лица, выступившего с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6"/>
        <w:contextualSpacing/>
        <w:ind w:left="0"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инициативой заключения концессионного соглашения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Поступившее в администрацию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предложение о заключении концессионного соглашения в течение 10 рабочих дней направляется в отраслевой (функциональный) орган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округа, уполномоченный на рассмотрение предложений лиц, выступающих с инициативой заключения концессионного соглашения в соответствии с </w:t>
      </w:r>
      <w:hyperlink r:id="rId21" w:tooltip="https://login.consultant.ru/link/?req=doc&amp;base=LAW&amp;n=512724&amp;dst=199" w:history="1">
        <w:r>
          <w:rPr>
            <w:rFonts w:ascii="Times New Roman" w:hAnsi="Times New Roman" w:cs="Times New Roman"/>
            <w:sz w:val="28"/>
            <w:szCs w:val="28"/>
          </w:rPr>
          <w:t xml:space="preserve">частью 4.1 статьи 37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(далее - уполномоченный </w:t>
      </w:r>
      <w:r>
        <w:rPr>
          <w:rFonts w:ascii="Times New Roman" w:hAnsi="Times New Roman" w:cs="Times New Roman"/>
          <w:sz w:val="28"/>
          <w:szCs w:val="28"/>
        </w:rPr>
        <w:t xml:space="preserve">орган). Уполномоченный орган рассматривает </w:t>
      </w:r>
      <w:hyperlink r:id="rId22" w:tooltip="https://login.consultant.ru/link/?req=doc&amp;base=LAW&amp;n=463203&amp;dst=100009" w:history="1">
        <w:r>
          <w:rPr>
            <w:rFonts w:ascii="Times New Roman" w:hAnsi="Times New Roman" w:cs="Times New Roman"/>
            <w:sz w:val="28"/>
            <w:szCs w:val="28"/>
          </w:rPr>
          <w:t xml:space="preserve">предложение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инициатора, оформленное по форме, установленной Постановлением Правительства Российской Федерации от 31 марта 2015 года </w:t>
      </w:r>
      <w:r>
        <w:rPr>
          <w:rFonts w:ascii="Times New Roman" w:hAnsi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300 </w:t>
      </w:r>
      <w:r>
        <w:rPr>
          <w:rFonts w:ascii="Times New Roman" w:hAnsi="Times New Roman" w:cs="Times New Roman"/>
          <w:sz w:val="28"/>
          <w:szCs w:val="28"/>
        </w:rPr>
        <w:t xml:space="preserve">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формы предложения о заключении концессионного соглашения с лицом, выступающим с инициативой заключения концессионного соглашения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(далее - предложение о заключении концессионного соглашения), в течение 30 (тридцати) календарных дней со дня поступления в администрацию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указанного предложения.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Уполномоченный орган рассматривает предложение о заключении концессионного соглашения на предмет его соответствия требованиям, </w:t>
      </w:r>
      <w:r>
        <w:rPr>
          <w:rFonts w:ascii="Times New Roman" w:hAnsi="Times New Roman" w:cs="Times New Roman"/>
          <w:sz w:val="28"/>
          <w:szCs w:val="28"/>
        </w:rPr>
        <w:t xml:space="preserve">установленным </w:t>
      </w:r>
      <w:hyperlink r:id="rId23" w:tooltip="https://login.consultant.ru/link/?req=doc&amp;base=LAW&amp;n=512724&amp;dst=683" w:history="1">
        <w:r>
          <w:rPr>
            <w:rFonts w:ascii="Times New Roman" w:hAnsi="Times New Roman" w:cs="Times New Roman"/>
            <w:sz w:val="28"/>
            <w:szCs w:val="28"/>
          </w:rPr>
          <w:t xml:space="preserve">частями 4.2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24" w:tooltip="https://login.consultant.ru/link/?req=doc&amp;base=LAW&amp;n=512724&amp;dst=684" w:history="1">
        <w:r>
          <w:rPr>
            <w:rFonts w:ascii="Times New Roman" w:hAnsi="Times New Roman" w:cs="Times New Roman"/>
            <w:sz w:val="28"/>
            <w:szCs w:val="28"/>
          </w:rPr>
          <w:t xml:space="preserve">4.3 статьи 37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закона, а также на предмет соответствия инициатора требованиям, предусмотренным </w:t>
      </w:r>
      <w:hyperlink r:id="rId25" w:tooltip="https://login.consultant.ru/link/?req=doc&amp;base=LAW&amp;n=512724&amp;dst=199" w:history="1">
        <w:r>
          <w:rPr>
            <w:rFonts w:ascii="Times New Roman" w:hAnsi="Times New Roman" w:cs="Times New Roman"/>
            <w:sz w:val="28"/>
            <w:szCs w:val="28"/>
          </w:rPr>
          <w:t xml:space="preserve">частями 4.1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26" w:tooltip="https://login.consultant.ru/link/?req=doc&amp;base=LAW&amp;n=512724&amp;dst=698" w:history="1">
        <w:r>
          <w:rPr>
            <w:rFonts w:ascii="Times New Roman" w:hAnsi="Times New Roman" w:cs="Times New Roman"/>
            <w:sz w:val="28"/>
            <w:szCs w:val="28"/>
          </w:rPr>
          <w:t xml:space="preserve">4.11 статьи 37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В случае несоответствия предложения о заключении концессионного соглашения и (или) инициатора требованиям, установленным частями 4.1, 4.2, 4.3, 4.11 статьи 37 Федерального закона, уполномоченный орган в течение 3 (трех) календарных д</w:t>
      </w:r>
      <w:r>
        <w:rPr>
          <w:rFonts w:ascii="Times New Roman" w:hAnsi="Times New Roman" w:cs="Times New Roman"/>
          <w:sz w:val="28"/>
          <w:szCs w:val="28"/>
        </w:rPr>
        <w:t xml:space="preserve">ней со дня регистрации в уполномоченном органе предложения о заключении концессионного соглашения направляет инициатору письменный ответ о несоответствии его и (или) представленного им предложения требованиям Федерального закона с указанием этих оснований.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/>
      <w:bookmarkStart w:id="2" w:name="P135"/>
      <w:r/>
      <w:bookmarkEnd w:id="2"/>
      <w:r>
        <w:rPr>
          <w:rFonts w:ascii="Times New Roman" w:hAnsi="Times New Roman" w:cs="Times New Roman"/>
          <w:sz w:val="28"/>
          <w:szCs w:val="28"/>
        </w:rPr>
        <w:t xml:space="preserve">2.4. В случае соответствия предложения о заключении концессионного соглашения и (или) инициатора требованиям, установленным </w:t>
      </w:r>
      <w:hyperlink r:id="rId27" w:tooltip="https://login.consultant.ru/link/?req=doc&amp;base=LAW&amp;n=512724&amp;dst=683" w:history="1">
        <w:r>
          <w:rPr>
            <w:rFonts w:ascii="Times New Roman" w:hAnsi="Times New Roman" w:cs="Times New Roman"/>
            <w:sz w:val="28"/>
            <w:szCs w:val="28"/>
          </w:rPr>
          <w:t xml:space="preserve">частями 4.2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28" w:tooltip="https://login.consultant.ru/link/?req=doc&amp;base=LAW&amp;n=512724&amp;dst=684" w:history="1">
        <w:r>
          <w:rPr>
            <w:rFonts w:ascii="Times New Roman" w:hAnsi="Times New Roman" w:cs="Times New Roman"/>
            <w:sz w:val="28"/>
            <w:szCs w:val="28"/>
          </w:rPr>
          <w:t xml:space="preserve">4.3 статьи 37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закона, а также соответствия инициатора требованиям, предусмотренным </w:t>
      </w:r>
      <w:hyperlink r:id="rId29" w:tooltip="https://login.consultant.ru/link/?req=doc&amp;base=LAW&amp;n=512724&amp;dst=199" w:history="1">
        <w:r>
          <w:rPr>
            <w:rFonts w:ascii="Times New Roman" w:hAnsi="Times New Roman" w:cs="Times New Roman"/>
            <w:sz w:val="28"/>
            <w:szCs w:val="28"/>
          </w:rPr>
          <w:t xml:space="preserve">частями 4.1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30" w:tooltip="https://login.consultant.ru/link/?req=doc&amp;base=LAW&amp;n=512724&amp;dst=698" w:history="1">
        <w:r>
          <w:rPr>
            <w:rFonts w:ascii="Times New Roman" w:hAnsi="Times New Roman" w:cs="Times New Roman"/>
            <w:sz w:val="28"/>
            <w:szCs w:val="28"/>
          </w:rPr>
          <w:t xml:space="preserve">4.11 статьи 37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</w:t>
      </w:r>
      <w:r>
        <w:rPr>
          <w:rFonts w:ascii="Times New Roman" w:hAnsi="Times New Roman" w:cs="Times New Roman"/>
          <w:sz w:val="28"/>
          <w:szCs w:val="28"/>
        </w:rPr>
        <w:t xml:space="preserve">ального закона, уполномоченный орган в течение 4 (четырех) календарных дней со дня регистрации в уполномоченном органе предложения о заключении концессионного соглашения направляет поступившее предложени</w:t>
      </w:r>
      <w:r>
        <w:rPr>
          <w:rFonts w:ascii="Times New Roman" w:hAnsi="Times New Roman" w:cs="Times New Roman"/>
          <w:sz w:val="28"/>
          <w:szCs w:val="28"/>
        </w:rPr>
        <w:t xml:space="preserve">е и проект концессионного соглашения для предварительного рассмотрения и представления заключений о возможности (невозможности) заключения концессионного соглашения или возможности заключения концессионного соглашения на иных условиях (далее - заключение):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 </w:t>
      </w:r>
      <w:r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муниципальной собственностью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– в части вопросов, касающихся использования имущественных и земельных ресурсов Губкинского городского округа Белгородской области, определения права собственности, обременения и ограничения на объект концессионного соглашения;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</w:t>
      </w:r>
      <w:r>
        <w:rPr>
          <w:rFonts w:ascii="Times New Roman" w:hAnsi="Times New Roman" w:cs="Times New Roman"/>
          <w:sz w:val="28"/>
          <w:szCs w:val="28"/>
        </w:rPr>
        <w:t xml:space="preserve">управление</w:t>
      </w:r>
      <w:r>
        <w:rPr>
          <w:rFonts w:ascii="Times New Roman" w:hAnsi="Times New Roman" w:cs="Times New Roman"/>
          <w:sz w:val="28"/>
          <w:szCs w:val="28"/>
        </w:rPr>
        <w:t xml:space="preserve"> финансов и бюджетной политики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– в части наличия либо отсутствия средств бюджета на исполнение обязательств по представленному концессионному соглашению, а также в части его влияния на доходную часть бюджета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</w:t>
      </w:r>
      <w:r>
        <w:rPr>
          <w:rFonts w:ascii="Times New Roman" w:hAnsi="Times New Roman" w:cs="Times New Roman"/>
          <w:sz w:val="28"/>
          <w:szCs w:val="28"/>
        </w:rPr>
        <w:t xml:space="preserve">управление</w:t>
      </w:r>
      <w:r>
        <w:rPr>
          <w:rFonts w:ascii="Times New Roman" w:hAnsi="Times New Roman" w:cs="Times New Roman"/>
          <w:sz w:val="28"/>
          <w:szCs w:val="28"/>
        </w:rPr>
        <w:t xml:space="preserve"> экономи</w:t>
      </w:r>
      <w:r>
        <w:rPr>
          <w:rFonts w:ascii="Times New Roman" w:hAnsi="Times New Roman" w:cs="Times New Roman"/>
          <w:sz w:val="28"/>
          <w:szCs w:val="28"/>
        </w:rPr>
        <w:t xml:space="preserve">ки и ценовой политики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– в части оценки финансово-экономических показателей реализации концессионного соглашения;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в </w:t>
      </w:r>
      <w:r>
        <w:rPr>
          <w:rFonts w:ascii="Times New Roman" w:hAnsi="Times New Roman" w:cs="Times New Roman"/>
          <w:sz w:val="28"/>
          <w:szCs w:val="28"/>
        </w:rPr>
        <w:t xml:space="preserve">комитет правового обеспечения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– в части соответствия проекта концессионного соглашения требованиям, установленным законодательством Российской Федерации, законодательством Белгородской области и муниципальными правовыми актами Губкинского городского округа;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в иные отраслевые (функциональные) органы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округа, мнение которых о предложении инициатора и проекте концессионного соглашения необходимо уполномоченному органу для принятия решения.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В течение 10 (десяти) календарных дней со дня поступления предложения инициатора и проекта концессионного соглашения отраслевые (функциональные) органы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округа, указанные в </w:t>
      </w:r>
      <w:hyperlink w:tooltip="#P135" w:anchor="P135" w:history="1">
        <w:r>
          <w:rPr>
            <w:rFonts w:ascii="Times New Roman" w:hAnsi="Times New Roman" w:cs="Times New Roman"/>
            <w:sz w:val="28"/>
            <w:szCs w:val="28"/>
          </w:rPr>
          <w:t xml:space="preserve">пункте 2.4 раздела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Порядка, направляют заключение в адрес уполномоченного органа.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о невозможности заключения концессионного соглашения подлежит обоснованию в соответствии с </w:t>
      </w:r>
      <w:hyperlink r:id="rId31" w:tooltip="https://login.consultant.ru/link/?req=doc&amp;base=LAW&amp;n=512724&amp;dst=207" w:history="1">
        <w:r>
          <w:rPr>
            <w:rFonts w:ascii="Times New Roman" w:hAnsi="Times New Roman" w:cs="Times New Roman"/>
            <w:sz w:val="28"/>
            <w:szCs w:val="28"/>
          </w:rPr>
          <w:t xml:space="preserve">частью 4.6 статьи 37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этот же срок уполномоченный орган проводит собственную оценку возможности и целесообразности реализации предложения о заключении концессионного соглашения.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В целях предварительного рассмотрения предложения о заключении концессионного соглашения </w:t>
      </w:r>
      <w:r>
        <w:rPr>
          <w:rFonts w:ascii="Times New Roman" w:hAnsi="Times New Roman" w:cs="Times New Roman"/>
          <w:sz w:val="28"/>
          <w:szCs w:val="28"/>
        </w:rPr>
        <w:t xml:space="preserve">создается рабочая группа, состав которой утверждается </w:t>
      </w:r>
      <w:r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Губкинского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. В состав рабочей группы включаются представители уполномоченного органа, </w:t>
      </w:r>
      <w:r>
        <w:rPr>
          <w:rFonts w:ascii="Times New Roman" w:hAnsi="Times New Roman" w:cs="Times New Roman"/>
          <w:sz w:val="28"/>
          <w:szCs w:val="28"/>
        </w:rPr>
        <w:t xml:space="preserve">управления экономики и ценовой политики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округа, </w:t>
      </w:r>
      <w:r>
        <w:rPr>
          <w:rFonts w:ascii="Times New Roman" w:hAnsi="Times New Roman" w:cs="Times New Roman"/>
          <w:sz w:val="28"/>
          <w:szCs w:val="28"/>
        </w:rPr>
        <w:t xml:space="preserve">управления</w:t>
      </w:r>
      <w:r>
        <w:rPr>
          <w:rFonts w:ascii="Times New Roman" w:hAnsi="Times New Roman" w:cs="Times New Roman"/>
          <w:sz w:val="28"/>
          <w:szCs w:val="28"/>
        </w:rPr>
        <w:t xml:space="preserve"> финансов и бюджетной политики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округа, </w:t>
      </w:r>
      <w:r>
        <w:rPr>
          <w:rFonts w:ascii="Times New Roman" w:hAnsi="Times New Roman" w:cs="Times New Roman"/>
          <w:sz w:val="28"/>
          <w:szCs w:val="28"/>
        </w:rPr>
        <w:t xml:space="preserve">комитета градостроительной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округа, </w:t>
      </w:r>
      <w:r>
        <w:rPr>
          <w:rFonts w:ascii="Times New Roman" w:hAnsi="Times New Roman" w:cs="Times New Roman"/>
          <w:sz w:val="28"/>
          <w:szCs w:val="28"/>
        </w:rPr>
        <w:t xml:space="preserve">комитета по управлению муниципальной собственностью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округа, а также иных органов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Уполномоченный орган в течение 5 (пяти) календарных дней со дня поступления заключений от отраслевых (функциональных) органов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организует заседание рабочей группы.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На основании протокола заседания рабочей группы, с учетом поступивших заключений отраслевых (функциональных) органов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администрация Губкинского городского округа в срок не позднее 10 (десяти) календарных дней со дня проведения заседания рабочей группы принимает одно из следующих решений, указанных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hyperlink r:id="rId32" w:tooltip="https://login.consultant.ru/link/?req=doc&amp;base=LAW&amp;n=512724&amp;dst=202" w:history="1">
        <w:r>
          <w:rPr>
            <w:rFonts w:ascii="Times New Roman" w:hAnsi="Times New Roman" w:cs="Times New Roman"/>
            <w:sz w:val="28"/>
            <w:szCs w:val="28"/>
          </w:rPr>
          <w:t xml:space="preserve">части 4.4 статьи 37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 возможности заключения концессионного соглашения на представленных в предложении о заключении концессионного соглашения условиях;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 возможности заключения концессионного соглашения на иных условиях;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о невозможности заключения концессионного соглашения с указанием основания отказа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hyperlink r:id="rId33" w:tooltip="https://login.consultant.ru/link/?req=doc&amp;base=LAW&amp;n=512724&amp;dst=207" w:history="1">
        <w:r>
          <w:rPr>
            <w:rFonts w:ascii="Times New Roman" w:hAnsi="Times New Roman" w:cs="Times New Roman"/>
            <w:sz w:val="28"/>
            <w:szCs w:val="28"/>
          </w:rPr>
          <w:t xml:space="preserve">частью 4.6 статьи 37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принимается в форме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Губкинского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Подготовку проекта постановления администрации Губкинского городского округа осуществляет уполномоченный орган с учетом требований Федерального закона.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решении о возможности заключения концесс</w:t>
      </w:r>
      <w:r>
        <w:rPr>
          <w:rFonts w:ascii="Times New Roman" w:hAnsi="Times New Roman" w:cs="Times New Roman"/>
          <w:sz w:val="28"/>
          <w:szCs w:val="28"/>
        </w:rPr>
        <w:t xml:space="preserve">ионного соглашения на иных условиях, чем предложено инициатором, указывается срок и порядок проведения переговоров в форме совместных совещаний с инициатором в целях обсуждения условий концессионного соглашения и их согласования по результатам переговоров.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Копия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Губкинского городского округа направляется инициатору в течение 2 (двух) календарных дней со дня его принятия.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В случае принятия решения о возможности заключения концессионного соглашения уполномоченный орган обеспечивает соблюдение требований, предусмотренных </w:t>
      </w:r>
      <w:hyperlink r:id="rId34" w:tooltip="https://login.consultant.ru/link/?req=doc&amp;base=LAW&amp;n=512724&amp;dst=686" w:history="1">
        <w:r>
          <w:rPr>
            <w:rFonts w:ascii="Times New Roman" w:hAnsi="Times New Roman" w:cs="Times New Roman"/>
            <w:sz w:val="28"/>
            <w:szCs w:val="28"/>
          </w:rPr>
          <w:t xml:space="preserve">частями 4.7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- </w:t>
      </w:r>
      <w:hyperlink r:id="rId35" w:tooltip="https://login.consultant.ru/link/?req=doc&amp;base=LAW&amp;n=512724&amp;dst=697" w:history="1">
        <w:r>
          <w:rPr>
            <w:rFonts w:ascii="Times New Roman" w:hAnsi="Times New Roman" w:cs="Times New Roman"/>
            <w:sz w:val="28"/>
            <w:szCs w:val="28"/>
          </w:rPr>
          <w:t xml:space="preserve">4.10 статьи 37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5"/>
        <w:contextualSpacing/>
        <w:ind w:firstLine="709"/>
        <w:jc w:val="both"/>
        <w:spacing w:before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Уполномоченный орган обеспечивает при принятии решения о заключении концессионного соглашения соблюдение сроков принятия решения о заключении концессионного соглашения и иных требований, установленных Федеральным законом.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rPr>
          <w:b/>
          <w:color w:val="ffffff" w:themeColor="background1"/>
          <w:sz w:val="32"/>
          <w:szCs w:val="32"/>
        </w:rPr>
      </w:pPr>
      <w:r>
        <w:rPr>
          <w:b/>
          <w:color w:val="ffffff" w:themeColor="background1"/>
          <w:sz w:val="28"/>
          <w:szCs w:val="28"/>
        </w:rPr>
        <w:t xml:space="preserve">Начальник отдела владения и пользования </w:t>
      </w:r>
      <w:r>
        <w:rPr>
          <w:b/>
          <w:color w:val="ffffff" w:themeColor="background1"/>
          <w:sz w:val="32"/>
          <w:szCs w:val="32"/>
        </w:rPr>
      </w:r>
      <w:r>
        <w:rPr>
          <w:b/>
          <w:color w:val="ffffff" w:themeColor="background1"/>
          <w:sz w:val="32"/>
          <w:szCs w:val="32"/>
        </w:rPr>
      </w:r>
    </w:p>
    <w:p>
      <w:pPr>
        <w:rPr>
          <w:b/>
          <w:color w:val="ffffff" w:themeColor="background1"/>
          <w:sz w:val="32"/>
          <w:szCs w:val="32"/>
        </w:rPr>
      </w:pPr>
      <w:r>
        <w:rPr>
          <w:b/>
          <w:color w:val="ffffff" w:themeColor="background1"/>
          <w:sz w:val="28"/>
          <w:szCs w:val="28"/>
        </w:rPr>
        <w:t xml:space="preserve">муниципальным имуществом</w:t>
      </w:r>
      <w:r>
        <w:rPr>
          <w:b/>
          <w:color w:val="ffffff" w:themeColor="background1"/>
          <w:sz w:val="28"/>
          <w:szCs w:val="28"/>
        </w:rPr>
        <w:tab/>
      </w:r>
      <w:r>
        <w:rPr>
          <w:b/>
          <w:color w:val="ffffff" w:themeColor="background1"/>
          <w:sz w:val="28"/>
          <w:szCs w:val="28"/>
        </w:rPr>
        <w:tab/>
      </w:r>
      <w:r>
        <w:rPr>
          <w:b/>
          <w:color w:val="ffffff" w:themeColor="background1"/>
          <w:sz w:val="28"/>
          <w:szCs w:val="28"/>
        </w:rPr>
        <w:tab/>
        <w:t xml:space="preserve">   </w:t>
      </w:r>
      <w:r>
        <w:rPr>
          <w:b/>
          <w:color w:val="ffffff" w:themeColor="background1"/>
          <w:sz w:val="28"/>
          <w:szCs w:val="28"/>
        </w:rPr>
        <w:tab/>
      </w:r>
      <w:r>
        <w:rPr>
          <w:b/>
          <w:color w:val="ffffff" w:themeColor="background1"/>
          <w:sz w:val="28"/>
          <w:szCs w:val="28"/>
        </w:rPr>
        <w:tab/>
        <w:t xml:space="preserve">   </w:t>
      </w:r>
      <w:r>
        <w:rPr>
          <w:b/>
          <w:color w:val="ffffff" w:themeColor="background1"/>
          <w:sz w:val="28"/>
          <w:szCs w:val="28"/>
        </w:rPr>
        <w:t xml:space="preserve"> </w:t>
      </w:r>
      <w:r>
        <w:rPr>
          <w:b/>
          <w:color w:val="ffffff" w:themeColor="background1"/>
          <w:sz w:val="28"/>
          <w:szCs w:val="28"/>
        </w:rPr>
        <w:t xml:space="preserve">  Е.В. Шиповская</w:t>
      </w:r>
      <w:r>
        <w:rPr>
          <w:b/>
          <w:color w:val="ffffff" w:themeColor="background1"/>
          <w:sz w:val="32"/>
          <w:szCs w:val="32"/>
        </w:rPr>
      </w:r>
      <w:r>
        <w:rPr>
          <w:b/>
          <w:color w:val="ffffff" w:themeColor="background1"/>
          <w:sz w:val="32"/>
          <w:szCs w:val="32"/>
        </w:rPr>
      </w:r>
    </w:p>
    <w:p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contextualSpacing/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left="-1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sectPr>
      <w:headerReference w:type="default" r:id="rId11"/>
      <w:headerReference w:type="even" r:id="rId12"/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 Narrow">
    <w:panose1 w:val="020B06040202020202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5"/>
      <w:jc w:val="center"/>
    </w:pPr>
    <w:fldSimple w:instr="PAGE \* MERGEFORMAT">
      <w:r>
        <w:t xml:space="preserve">1</w:t>
      </w:r>
    </w:fldSimple>
    <w:r/>
    <w:r/>
  </w:p>
  <w:p>
    <w:pPr>
      <w:pStyle w:val="95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5"/>
      <w:jc w:val="center"/>
    </w:pPr>
    <w:r/>
    <w:r/>
  </w:p>
  <w:p>
    <w:pPr>
      <w:pStyle w:val="95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5"/>
      <w:rPr>
        <w:rStyle w:val="961"/>
      </w:rPr>
      <w:framePr w:wrap="around" w:vAnchor="text" w:hAnchor="margin" w:xAlign="center" w:y="1"/>
    </w:pPr>
    <w:r>
      <w:rPr>
        <w:rStyle w:val="961"/>
      </w:rPr>
      <w:fldChar w:fldCharType="begin"/>
    </w:r>
    <w:r>
      <w:rPr>
        <w:rStyle w:val="961"/>
      </w:rPr>
      <w:instrText xml:space="preserve">PAGE  </w:instrText>
    </w:r>
    <w:r>
      <w:rPr>
        <w:rStyle w:val="961"/>
      </w:rPr>
      <w:fldChar w:fldCharType="separate"/>
    </w:r>
    <w:r>
      <w:rPr>
        <w:rStyle w:val="961"/>
      </w:rPr>
      <w:t xml:space="preserve">9</w:t>
    </w:r>
    <w:r>
      <w:rPr>
        <w:rStyle w:val="961"/>
      </w:rPr>
      <w:fldChar w:fldCharType="end"/>
    </w:r>
    <w:r>
      <w:rPr>
        <w:rStyle w:val="961"/>
      </w:rPr>
    </w:r>
    <w:r>
      <w:rPr>
        <w:rStyle w:val="961"/>
      </w:rPr>
    </w:r>
  </w:p>
  <w:p>
    <w:pPr>
      <w:pStyle w:val="955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5"/>
      <w:rPr>
        <w:rStyle w:val="961"/>
      </w:rPr>
      <w:framePr w:wrap="around" w:vAnchor="text" w:hAnchor="margin" w:xAlign="center" w:y="1"/>
    </w:pPr>
    <w:r>
      <w:rPr>
        <w:rStyle w:val="961"/>
      </w:rPr>
      <w:fldChar w:fldCharType="begin"/>
    </w:r>
    <w:r>
      <w:rPr>
        <w:rStyle w:val="961"/>
      </w:rPr>
      <w:instrText xml:space="preserve">PAGE  </w:instrText>
    </w:r>
    <w:r>
      <w:rPr>
        <w:rStyle w:val="961"/>
      </w:rPr>
      <w:fldChar w:fldCharType="separate"/>
    </w:r>
    <w:r>
      <w:rPr>
        <w:rStyle w:val="961"/>
      </w:rPr>
      <w:t xml:space="preserve">2</w:t>
    </w:r>
    <w:r>
      <w:rPr>
        <w:rStyle w:val="961"/>
      </w:rPr>
      <w:fldChar w:fldCharType="end"/>
    </w:r>
    <w:r>
      <w:rPr>
        <w:rStyle w:val="961"/>
      </w:rPr>
    </w:r>
    <w:r>
      <w:rPr>
        <w:rStyle w:val="961"/>
      </w:rPr>
    </w:r>
  </w:p>
  <w:p>
    <w:pPr>
      <w:pStyle w:val="95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5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9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6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4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1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8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5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2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012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5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9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6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4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1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8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5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2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014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4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6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8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0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2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4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6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8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09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8"/>
  </w:num>
  <w:num w:numId="7">
    <w:abstractNumId w:val="2"/>
  </w:num>
  <w:num w:numId="8">
    <w:abstractNumId w:val="9"/>
  </w:num>
  <w:num w:numId="9">
    <w:abstractNumId w:val="1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6" w:default="1">
    <w:name w:val="Normal"/>
    <w:qFormat/>
    <w:rPr>
      <w:sz w:val="24"/>
      <w:szCs w:val="24"/>
    </w:rPr>
  </w:style>
  <w:style w:type="paragraph" w:styleId="757">
    <w:name w:val="Heading 1"/>
    <w:basedOn w:val="756"/>
    <w:next w:val="756"/>
    <w:link w:val="7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58">
    <w:name w:val="Heading 2"/>
    <w:basedOn w:val="756"/>
    <w:next w:val="756"/>
    <w:link w:val="964"/>
    <w:qFormat/>
    <w:pPr>
      <w:keepNext/>
      <w:outlineLvl w:val="1"/>
    </w:pPr>
    <w:rPr>
      <w:sz w:val="28"/>
    </w:rPr>
  </w:style>
  <w:style w:type="paragraph" w:styleId="759">
    <w:name w:val="Heading 3"/>
    <w:basedOn w:val="756"/>
    <w:next w:val="756"/>
    <w:link w:val="7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60">
    <w:name w:val="Heading 4"/>
    <w:basedOn w:val="756"/>
    <w:next w:val="756"/>
    <w:link w:val="7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61">
    <w:name w:val="Heading 5"/>
    <w:basedOn w:val="756"/>
    <w:next w:val="756"/>
    <w:link w:val="7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62">
    <w:name w:val="Heading 6"/>
    <w:basedOn w:val="756"/>
    <w:next w:val="756"/>
    <w:link w:val="78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63">
    <w:name w:val="Heading 7"/>
    <w:basedOn w:val="756"/>
    <w:next w:val="756"/>
    <w:link w:val="7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4">
    <w:name w:val="Heading 8"/>
    <w:basedOn w:val="756"/>
    <w:next w:val="756"/>
    <w:link w:val="7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65">
    <w:name w:val="Heading 9"/>
    <w:basedOn w:val="756"/>
    <w:next w:val="756"/>
    <w:link w:val="7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6" w:default="1">
    <w:name w:val="Default Paragraph Font"/>
    <w:uiPriority w:val="1"/>
    <w:semiHidden/>
    <w:unhideWhenUsed/>
  </w:style>
  <w:style w:type="table" w:styleId="76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8" w:default="1">
    <w:name w:val="No List"/>
    <w:uiPriority w:val="99"/>
    <w:semiHidden/>
    <w:unhideWhenUsed/>
  </w:style>
  <w:style w:type="character" w:styleId="769" w:customStyle="1">
    <w:name w:val="Heading 1 Char"/>
    <w:basedOn w:val="766"/>
    <w:uiPriority w:val="9"/>
    <w:rPr>
      <w:rFonts w:ascii="Arial" w:hAnsi="Arial" w:eastAsia="Arial" w:cs="Arial"/>
      <w:sz w:val="40"/>
      <w:szCs w:val="40"/>
    </w:rPr>
  </w:style>
  <w:style w:type="character" w:styleId="770" w:customStyle="1">
    <w:name w:val="Heading 3 Char"/>
    <w:basedOn w:val="766"/>
    <w:uiPriority w:val="9"/>
    <w:rPr>
      <w:rFonts w:ascii="Arial" w:hAnsi="Arial" w:eastAsia="Arial" w:cs="Arial"/>
      <w:sz w:val="30"/>
      <w:szCs w:val="30"/>
    </w:rPr>
  </w:style>
  <w:style w:type="character" w:styleId="771" w:customStyle="1">
    <w:name w:val="Heading 4 Char"/>
    <w:basedOn w:val="766"/>
    <w:uiPriority w:val="9"/>
    <w:rPr>
      <w:rFonts w:ascii="Arial" w:hAnsi="Arial" w:eastAsia="Arial" w:cs="Arial"/>
      <w:b/>
      <w:bCs/>
      <w:sz w:val="26"/>
      <w:szCs w:val="26"/>
    </w:rPr>
  </w:style>
  <w:style w:type="character" w:styleId="772" w:customStyle="1">
    <w:name w:val="Heading 5 Char"/>
    <w:basedOn w:val="766"/>
    <w:uiPriority w:val="9"/>
    <w:rPr>
      <w:rFonts w:ascii="Arial" w:hAnsi="Arial" w:eastAsia="Arial" w:cs="Arial"/>
      <w:b/>
      <w:bCs/>
      <w:sz w:val="24"/>
      <w:szCs w:val="24"/>
    </w:rPr>
  </w:style>
  <w:style w:type="character" w:styleId="773" w:customStyle="1">
    <w:name w:val="Heading 6 Char"/>
    <w:basedOn w:val="766"/>
    <w:uiPriority w:val="9"/>
    <w:rPr>
      <w:rFonts w:ascii="Arial" w:hAnsi="Arial" w:eastAsia="Arial" w:cs="Arial"/>
      <w:b/>
      <w:bCs/>
      <w:sz w:val="22"/>
      <w:szCs w:val="22"/>
    </w:rPr>
  </w:style>
  <w:style w:type="character" w:styleId="774" w:customStyle="1">
    <w:name w:val="Heading 7 Char"/>
    <w:basedOn w:val="7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75" w:customStyle="1">
    <w:name w:val="Heading 8 Char"/>
    <w:basedOn w:val="766"/>
    <w:uiPriority w:val="9"/>
    <w:rPr>
      <w:rFonts w:ascii="Arial" w:hAnsi="Arial" w:eastAsia="Arial" w:cs="Arial"/>
      <w:i/>
      <w:iCs/>
      <w:sz w:val="22"/>
      <w:szCs w:val="22"/>
    </w:rPr>
  </w:style>
  <w:style w:type="character" w:styleId="776" w:customStyle="1">
    <w:name w:val="Heading 9 Char"/>
    <w:basedOn w:val="766"/>
    <w:uiPriority w:val="9"/>
    <w:rPr>
      <w:rFonts w:ascii="Arial" w:hAnsi="Arial" w:eastAsia="Arial" w:cs="Arial"/>
      <w:i/>
      <w:iCs/>
      <w:sz w:val="21"/>
      <w:szCs w:val="21"/>
    </w:rPr>
  </w:style>
  <w:style w:type="character" w:styleId="777" w:customStyle="1">
    <w:name w:val="Title Char"/>
    <w:basedOn w:val="766"/>
    <w:uiPriority w:val="10"/>
    <w:rPr>
      <w:sz w:val="48"/>
      <w:szCs w:val="48"/>
    </w:rPr>
  </w:style>
  <w:style w:type="character" w:styleId="778" w:customStyle="1">
    <w:name w:val="Subtitle Char"/>
    <w:basedOn w:val="766"/>
    <w:uiPriority w:val="11"/>
    <w:rPr>
      <w:sz w:val="24"/>
      <w:szCs w:val="24"/>
    </w:rPr>
  </w:style>
  <w:style w:type="character" w:styleId="779" w:customStyle="1">
    <w:name w:val="Quote Char"/>
    <w:uiPriority w:val="29"/>
    <w:rPr>
      <w:i/>
    </w:rPr>
  </w:style>
  <w:style w:type="character" w:styleId="780" w:customStyle="1">
    <w:name w:val="Intense Quote Char"/>
    <w:uiPriority w:val="30"/>
    <w:rPr>
      <w:i/>
    </w:rPr>
  </w:style>
  <w:style w:type="character" w:styleId="781" w:customStyle="1">
    <w:name w:val="Footnote Text Char"/>
    <w:uiPriority w:val="99"/>
    <w:rPr>
      <w:sz w:val="18"/>
    </w:rPr>
  </w:style>
  <w:style w:type="character" w:styleId="782" w:customStyle="1">
    <w:name w:val="Endnote Text Char"/>
    <w:uiPriority w:val="99"/>
    <w:rPr>
      <w:sz w:val="20"/>
    </w:rPr>
  </w:style>
  <w:style w:type="character" w:styleId="783" w:customStyle="1">
    <w:name w:val="Заголовок 1 Знак"/>
    <w:basedOn w:val="766"/>
    <w:link w:val="757"/>
    <w:uiPriority w:val="9"/>
    <w:rPr>
      <w:rFonts w:ascii="Arial" w:hAnsi="Arial" w:eastAsia="Arial" w:cs="Arial"/>
      <w:sz w:val="40"/>
      <w:szCs w:val="40"/>
    </w:rPr>
  </w:style>
  <w:style w:type="character" w:styleId="784" w:customStyle="1">
    <w:name w:val="Heading 2 Char"/>
    <w:basedOn w:val="766"/>
    <w:uiPriority w:val="9"/>
    <w:rPr>
      <w:rFonts w:ascii="Arial" w:hAnsi="Arial" w:eastAsia="Arial" w:cs="Arial"/>
      <w:sz w:val="34"/>
    </w:rPr>
  </w:style>
  <w:style w:type="character" w:styleId="785" w:customStyle="1">
    <w:name w:val="Заголовок 3 Знак"/>
    <w:basedOn w:val="766"/>
    <w:link w:val="759"/>
    <w:uiPriority w:val="9"/>
    <w:rPr>
      <w:rFonts w:ascii="Arial" w:hAnsi="Arial" w:eastAsia="Arial" w:cs="Arial"/>
      <w:sz w:val="30"/>
      <w:szCs w:val="30"/>
    </w:rPr>
  </w:style>
  <w:style w:type="character" w:styleId="786" w:customStyle="1">
    <w:name w:val="Заголовок 4 Знак"/>
    <w:basedOn w:val="766"/>
    <w:link w:val="760"/>
    <w:uiPriority w:val="9"/>
    <w:rPr>
      <w:rFonts w:ascii="Arial" w:hAnsi="Arial" w:eastAsia="Arial" w:cs="Arial"/>
      <w:b/>
      <w:bCs/>
      <w:sz w:val="26"/>
      <w:szCs w:val="26"/>
    </w:rPr>
  </w:style>
  <w:style w:type="character" w:styleId="787" w:customStyle="1">
    <w:name w:val="Заголовок 5 Знак"/>
    <w:basedOn w:val="766"/>
    <w:link w:val="761"/>
    <w:uiPriority w:val="9"/>
    <w:rPr>
      <w:rFonts w:ascii="Arial" w:hAnsi="Arial" w:eastAsia="Arial" w:cs="Arial"/>
      <w:b/>
      <w:bCs/>
      <w:sz w:val="24"/>
      <w:szCs w:val="24"/>
    </w:rPr>
  </w:style>
  <w:style w:type="character" w:styleId="788" w:customStyle="1">
    <w:name w:val="Заголовок 6 Знак"/>
    <w:basedOn w:val="766"/>
    <w:link w:val="762"/>
    <w:uiPriority w:val="9"/>
    <w:rPr>
      <w:rFonts w:ascii="Arial" w:hAnsi="Arial" w:eastAsia="Arial" w:cs="Arial"/>
      <w:b/>
      <w:bCs/>
      <w:sz w:val="22"/>
      <w:szCs w:val="22"/>
    </w:rPr>
  </w:style>
  <w:style w:type="character" w:styleId="789" w:customStyle="1">
    <w:name w:val="Заголовок 7 Знак"/>
    <w:basedOn w:val="766"/>
    <w:link w:val="7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0" w:customStyle="1">
    <w:name w:val="Заголовок 8 Знак"/>
    <w:basedOn w:val="766"/>
    <w:link w:val="764"/>
    <w:uiPriority w:val="9"/>
    <w:rPr>
      <w:rFonts w:ascii="Arial" w:hAnsi="Arial" w:eastAsia="Arial" w:cs="Arial"/>
      <w:i/>
      <w:iCs/>
      <w:sz w:val="22"/>
      <w:szCs w:val="22"/>
    </w:rPr>
  </w:style>
  <w:style w:type="character" w:styleId="791" w:customStyle="1">
    <w:name w:val="Заголовок 9 Знак"/>
    <w:basedOn w:val="766"/>
    <w:link w:val="765"/>
    <w:uiPriority w:val="9"/>
    <w:rPr>
      <w:rFonts w:ascii="Arial" w:hAnsi="Arial" w:eastAsia="Arial" w:cs="Arial"/>
      <w:i/>
      <w:iCs/>
      <w:sz w:val="21"/>
      <w:szCs w:val="21"/>
    </w:rPr>
  </w:style>
  <w:style w:type="paragraph" w:styleId="792">
    <w:name w:val="List Paragraph"/>
    <w:basedOn w:val="756"/>
    <w:uiPriority w:val="34"/>
    <w:qFormat/>
    <w:pPr>
      <w:contextualSpacing/>
      <w:ind w:left="720"/>
    </w:pPr>
  </w:style>
  <w:style w:type="paragraph" w:styleId="793">
    <w:name w:val="No Spacing"/>
    <w:uiPriority w:val="1"/>
    <w:qFormat/>
  </w:style>
  <w:style w:type="paragraph" w:styleId="794">
    <w:name w:val="Title"/>
    <w:basedOn w:val="756"/>
    <w:next w:val="756"/>
    <w:link w:val="79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5" w:customStyle="1">
    <w:name w:val="Название Знак"/>
    <w:basedOn w:val="766"/>
    <w:link w:val="794"/>
    <w:uiPriority w:val="10"/>
    <w:rPr>
      <w:sz w:val="48"/>
      <w:szCs w:val="48"/>
    </w:rPr>
  </w:style>
  <w:style w:type="paragraph" w:styleId="796">
    <w:name w:val="Subtitle"/>
    <w:basedOn w:val="756"/>
    <w:next w:val="756"/>
    <w:link w:val="797"/>
    <w:uiPriority w:val="11"/>
    <w:qFormat/>
    <w:pPr>
      <w:spacing w:before="200" w:after="200"/>
    </w:pPr>
  </w:style>
  <w:style w:type="character" w:styleId="797" w:customStyle="1">
    <w:name w:val="Подзаголовок Знак"/>
    <w:basedOn w:val="766"/>
    <w:link w:val="796"/>
    <w:uiPriority w:val="11"/>
    <w:rPr>
      <w:sz w:val="24"/>
      <w:szCs w:val="24"/>
    </w:rPr>
  </w:style>
  <w:style w:type="paragraph" w:styleId="798">
    <w:name w:val="Quote"/>
    <w:basedOn w:val="756"/>
    <w:next w:val="756"/>
    <w:link w:val="799"/>
    <w:uiPriority w:val="29"/>
    <w:qFormat/>
    <w:pPr>
      <w:ind w:left="720" w:right="720"/>
    </w:pPr>
    <w:rPr>
      <w:i/>
    </w:rPr>
  </w:style>
  <w:style w:type="character" w:styleId="799" w:customStyle="1">
    <w:name w:val="Цитата 2 Знак"/>
    <w:link w:val="798"/>
    <w:uiPriority w:val="29"/>
    <w:rPr>
      <w:i/>
    </w:rPr>
  </w:style>
  <w:style w:type="paragraph" w:styleId="800">
    <w:name w:val="Intense Quote"/>
    <w:basedOn w:val="756"/>
    <w:next w:val="756"/>
    <w:link w:val="80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1" w:customStyle="1">
    <w:name w:val="Выделенная цитата Знак"/>
    <w:link w:val="800"/>
    <w:uiPriority w:val="30"/>
    <w:rPr>
      <w:i/>
    </w:rPr>
  </w:style>
  <w:style w:type="character" w:styleId="802" w:customStyle="1">
    <w:name w:val="Header Char"/>
    <w:basedOn w:val="766"/>
    <w:uiPriority w:val="99"/>
  </w:style>
  <w:style w:type="character" w:styleId="803" w:customStyle="1">
    <w:name w:val="Footer Char"/>
    <w:basedOn w:val="766"/>
    <w:uiPriority w:val="99"/>
  </w:style>
  <w:style w:type="paragraph" w:styleId="804">
    <w:name w:val="Caption"/>
    <w:basedOn w:val="756"/>
    <w:next w:val="756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805" w:customStyle="1">
    <w:name w:val="Caption Char"/>
    <w:uiPriority w:val="99"/>
  </w:style>
  <w:style w:type="table" w:styleId="806" w:customStyle="1">
    <w:name w:val="Table Grid Light"/>
    <w:basedOn w:val="76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7">
    <w:name w:val="Plain Table 1"/>
    <w:basedOn w:val="76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8">
    <w:name w:val="Plain Table 2"/>
    <w:basedOn w:val="76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9">
    <w:name w:val="Plain Table 3"/>
    <w:basedOn w:val="76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0">
    <w:name w:val="Plain Table 4"/>
    <w:basedOn w:val="76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Plain Table 5"/>
    <w:basedOn w:val="76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2">
    <w:name w:val="Grid Table 1 Light"/>
    <w:basedOn w:val="76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1"/>
    <w:basedOn w:val="767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1 Light - Accent 2"/>
    <w:basedOn w:val="767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Grid Table 1 Light - Accent 3"/>
    <w:basedOn w:val="767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Grid Table 1 Light - Accent 4"/>
    <w:basedOn w:val="767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Grid Table 1 Light - Accent 5"/>
    <w:basedOn w:val="767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Grid Table 1 Light - Accent 6"/>
    <w:basedOn w:val="767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2"/>
    <w:basedOn w:val="76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2 - Accent 1"/>
    <w:basedOn w:val="767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2 - Accent 2"/>
    <w:basedOn w:val="767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2 - Accent 3"/>
    <w:basedOn w:val="767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2 - Accent 4"/>
    <w:basedOn w:val="767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2 - Accent 5"/>
    <w:basedOn w:val="767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2 - Accent 6"/>
    <w:basedOn w:val="767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3"/>
    <w:basedOn w:val="76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3 - Accent 1"/>
    <w:basedOn w:val="767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3 - Accent 2"/>
    <w:basedOn w:val="767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3 - Accent 3"/>
    <w:basedOn w:val="767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3 - Accent 4"/>
    <w:basedOn w:val="767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 - Accent 5"/>
    <w:basedOn w:val="767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3 - Accent 6"/>
    <w:basedOn w:val="767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4"/>
    <w:basedOn w:val="76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4" w:customStyle="1">
    <w:name w:val="Grid Table 4 - Accent 1"/>
    <w:basedOn w:val="767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35" w:customStyle="1">
    <w:name w:val="Grid Table 4 - Accent 2"/>
    <w:basedOn w:val="767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36" w:customStyle="1">
    <w:name w:val="Grid Table 4 - Accent 3"/>
    <w:basedOn w:val="767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37" w:customStyle="1">
    <w:name w:val="Grid Table 4 - Accent 4"/>
    <w:basedOn w:val="767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38" w:customStyle="1">
    <w:name w:val="Grid Table 4 - Accent 5"/>
    <w:basedOn w:val="767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39" w:customStyle="1">
    <w:name w:val="Grid Table 4 - Accent 6"/>
    <w:basedOn w:val="767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40">
    <w:name w:val="Grid Table 5 Dark"/>
    <w:basedOn w:val="76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1" w:customStyle="1">
    <w:name w:val="Grid Table 5 Dark- Accent 1"/>
    <w:basedOn w:val="76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42" w:customStyle="1">
    <w:name w:val="Grid Table 5 Dark - Accent 2"/>
    <w:basedOn w:val="76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43" w:customStyle="1">
    <w:name w:val="Grid Table 5 Dark - Accent 3"/>
    <w:basedOn w:val="76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44" w:customStyle="1">
    <w:name w:val="Grid Table 5 Dark- Accent 4"/>
    <w:basedOn w:val="76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45" w:customStyle="1">
    <w:name w:val="Grid Table 5 Dark - Accent 5"/>
    <w:basedOn w:val="76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46" w:customStyle="1">
    <w:name w:val="Grid Table 5 Dark - Accent 6"/>
    <w:basedOn w:val="76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47">
    <w:name w:val="Grid Table 6 Colorful"/>
    <w:basedOn w:val="76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8" w:customStyle="1">
    <w:name w:val="Grid Table 6 Colorful - Accent 1"/>
    <w:basedOn w:val="767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49" w:customStyle="1">
    <w:name w:val="Grid Table 6 Colorful - Accent 2"/>
    <w:basedOn w:val="767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50" w:customStyle="1">
    <w:name w:val="Grid Table 6 Colorful - Accent 3"/>
    <w:basedOn w:val="767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51" w:customStyle="1">
    <w:name w:val="Grid Table 6 Colorful - Accent 4"/>
    <w:basedOn w:val="767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52" w:customStyle="1">
    <w:name w:val="Grid Table 6 Colorful - Accent 5"/>
    <w:basedOn w:val="767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53" w:customStyle="1">
    <w:name w:val="Grid Table 6 Colorful - Accent 6"/>
    <w:basedOn w:val="767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54">
    <w:name w:val="Grid Table 7 Colorful"/>
    <w:basedOn w:val="76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7 Colorful - Accent 1"/>
    <w:basedOn w:val="767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7 Colorful - Accent 2"/>
    <w:basedOn w:val="767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7 Colorful - Accent 3"/>
    <w:basedOn w:val="767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7 Colorful - Accent 4"/>
    <w:basedOn w:val="767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7 Colorful - Accent 5"/>
    <w:basedOn w:val="767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7 Colorful - Accent 6"/>
    <w:basedOn w:val="767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List Table 1 Light"/>
    <w:basedOn w:val="767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1 Light - Accent 1"/>
    <w:basedOn w:val="767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1 Light - Accent 2"/>
    <w:basedOn w:val="767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1 Light - Accent 3"/>
    <w:basedOn w:val="767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1 Light - Accent 4"/>
    <w:basedOn w:val="767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1 Light - Accent 5"/>
    <w:basedOn w:val="767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1 Light - Accent 6"/>
    <w:basedOn w:val="767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2"/>
    <w:basedOn w:val="76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9" w:customStyle="1">
    <w:name w:val="List Table 2 - Accent 1"/>
    <w:basedOn w:val="767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70" w:customStyle="1">
    <w:name w:val="List Table 2 - Accent 2"/>
    <w:basedOn w:val="767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71" w:customStyle="1">
    <w:name w:val="List Table 2 - Accent 3"/>
    <w:basedOn w:val="767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72" w:customStyle="1">
    <w:name w:val="List Table 2 - Accent 4"/>
    <w:basedOn w:val="767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73" w:customStyle="1">
    <w:name w:val="List Table 2 - Accent 5"/>
    <w:basedOn w:val="767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74" w:customStyle="1">
    <w:name w:val="List Table 2 - Accent 6"/>
    <w:basedOn w:val="767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75">
    <w:name w:val="List Table 3"/>
    <w:basedOn w:val="76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1"/>
    <w:basedOn w:val="767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3 - Accent 2"/>
    <w:basedOn w:val="767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3 - Accent 3"/>
    <w:basedOn w:val="767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3 - Accent 4"/>
    <w:basedOn w:val="767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3 - Accent 5"/>
    <w:basedOn w:val="767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3 - Accent 6"/>
    <w:basedOn w:val="767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4"/>
    <w:basedOn w:val="76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1"/>
    <w:basedOn w:val="767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4 - Accent 2"/>
    <w:basedOn w:val="767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4 - Accent 3"/>
    <w:basedOn w:val="767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4 - Accent 4"/>
    <w:basedOn w:val="767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 - Accent 5"/>
    <w:basedOn w:val="767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4 - Accent 6"/>
    <w:basedOn w:val="767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5 Dark"/>
    <w:basedOn w:val="76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 w:customStyle="1">
    <w:name w:val="List Table 5 Dark - Accent 1"/>
    <w:basedOn w:val="767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5 Dark - Accent 2"/>
    <w:basedOn w:val="767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 w:customStyle="1">
    <w:name w:val="List Table 5 Dark - Accent 3"/>
    <w:basedOn w:val="767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3" w:customStyle="1">
    <w:name w:val="List Table 5 Dark - Accent 4"/>
    <w:basedOn w:val="767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4" w:customStyle="1">
    <w:name w:val="List Table 5 Dark - Accent 5"/>
    <w:basedOn w:val="767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5" w:customStyle="1">
    <w:name w:val="List Table 5 Dark - Accent 6"/>
    <w:basedOn w:val="767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6">
    <w:name w:val="List Table 6 Colorful"/>
    <w:basedOn w:val="76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7" w:customStyle="1">
    <w:name w:val="List Table 6 Colorful - Accent 1"/>
    <w:basedOn w:val="767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98" w:customStyle="1">
    <w:name w:val="List Table 6 Colorful - Accent 2"/>
    <w:basedOn w:val="767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99" w:customStyle="1">
    <w:name w:val="List Table 6 Colorful - Accent 3"/>
    <w:basedOn w:val="767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00" w:customStyle="1">
    <w:name w:val="List Table 6 Colorful - Accent 4"/>
    <w:basedOn w:val="767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01" w:customStyle="1">
    <w:name w:val="List Table 6 Colorful - Accent 5"/>
    <w:basedOn w:val="767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02" w:customStyle="1">
    <w:name w:val="List Table 6 Colorful - Accent 6"/>
    <w:basedOn w:val="767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03">
    <w:name w:val="List Table 7 Colorful"/>
    <w:basedOn w:val="76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7 Colorful - Accent 1"/>
    <w:basedOn w:val="767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7 Colorful - Accent 2"/>
    <w:basedOn w:val="767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st Table 7 Colorful - Accent 3"/>
    <w:basedOn w:val="767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List Table 7 Colorful - Accent 4"/>
    <w:basedOn w:val="767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st Table 7 Colorful - Accent 5"/>
    <w:basedOn w:val="767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st Table 7 Colorful - Accent 6"/>
    <w:basedOn w:val="767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Lined - Accent"/>
    <w:basedOn w:val="76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1" w:customStyle="1">
    <w:name w:val="Lined - Accent 1"/>
    <w:basedOn w:val="76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12" w:customStyle="1">
    <w:name w:val="Lined - Accent 2"/>
    <w:basedOn w:val="76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13" w:customStyle="1">
    <w:name w:val="Lined - Accent 3"/>
    <w:basedOn w:val="76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14" w:customStyle="1">
    <w:name w:val="Lined - Accent 4"/>
    <w:basedOn w:val="76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15" w:customStyle="1">
    <w:name w:val="Lined - Accent 5"/>
    <w:basedOn w:val="76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16" w:customStyle="1">
    <w:name w:val="Lined - Accent 6"/>
    <w:basedOn w:val="76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17" w:customStyle="1">
    <w:name w:val="Bordered &amp; Lined - Accent"/>
    <w:basedOn w:val="767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8" w:customStyle="1">
    <w:name w:val="Bordered &amp; Lined - Accent 1"/>
    <w:basedOn w:val="767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19" w:customStyle="1">
    <w:name w:val="Bordered &amp; Lined - Accent 2"/>
    <w:basedOn w:val="767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20" w:customStyle="1">
    <w:name w:val="Bordered &amp; Lined - Accent 3"/>
    <w:basedOn w:val="767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21" w:customStyle="1">
    <w:name w:val="Bordered &amp; Lined - Accent 4"/>
    <w:basedOn w:val="767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22" w:customStyle="1">
    <w:name w:val="Bordered &amp; Lined - Accent 5"/>
    <w:basedOn w:val="767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23" w:customStyle="1">
    <w:name w:val="Bordered &amp; Lined - Accent 6"/>
    <w:basedOn w:val="767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24" w:customStyle="1">
    <w:name w:val="Bordered"/>
    <w:basedOn w:val="767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5" w:customStyle="1">
    <w:name w:val="Bordered - Accent 1"/>
    <w:basedOn w:val="767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26" w:customStyle="1">
    <w:name w:val="Bordered - Accent 2"/>
    <w:basedOn w:val="767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27" w:customStyle="1">
    <w:name w:val="Bordered - Accent 3"/>
    <w:basedOn w:val="767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28" w:customStyle="1">
    <w:name w:val="Bordered - Accent 4"/>
    <w:basedOn w:val="767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29" w:customStyle="1">
    <w:name w:val="Bordered - Accent 5"/>
    <w:basedOn w:val="767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30" w:customStyle="1">
    <w:name w:val="Bordered - Accent 6"/>
    <w:basedOn w:val="767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931">
    <w:name w:val="footnote text"/>
    <w:basedOn w:val="756"/>
    <w:link w:val="932"/>
    <w:uiPriority w:val="99"/>
    <w:semiHidden/>
    <w:unhideWhenUsed/>
    <w:pPr>
      <w:spacing w:after="40"/>
    </w:pPr>
    <w:rPr>
      <w:sz w:val="18"/>
    </w:rPr>
  </w:style>
  <w:style w:type="character" w:styleId="932" w:customStyle="1">
    <w:name w:val="Текст сноски Знак"/>
    <w:link w:val="931"/>
    <w:uiPriority w:val="99"/>
    <w:rPr>
      <w:sz w:val="18"/>
    </w:rPr>
  </w:style>
  <w:style w:type="character" w:styleId="933">
    <w:name w:val="footnote reference"/>
    <w:basedOn w:val="766"/>
    <w:uiPriority w:val="99"/>
    <w:unhideWhenUsed/>
    <w:rPr>
      <w:vertAlign w:val="superscript"/>
    </w:rPr>
  </w:style>
  <w:style w:type="paragraph" w:styleId="934">
    <w:name w:val="endnote text"/>
    <w:basedOn w:val="756"/>
    <w:link w:val="935"/>
    <w:uiPriority w:val="99"/>
    <w:semiHidden/>
    <w:unhideWhenUsed/>
    <w:rPr>
      <w:sz w:val="20"/>
    </w:rPr>
  </w:style>
  <w:style w:type="character" w:styleId="935" w:customStyle="1">
    <w:name w:val="Текст концевой сноски Знак"/>
    <w:link w:val="934"/>
    <w:uiPriority w:val="99"/>
    <w:rPr>
      <w:sz w:val="20"/>
    </w:rPr>
  </w:style>
  <w:style w:type="character" w:styleId="936">
    <w:name w:val="endnote reference"/>
    <w:basedOn w:val="766"/>
    <w:uiPriority w:val="99"/>
    <w:semiHidden/>
    <w:unhideWhenUsed/>
    <w:rPr>
      <w:vertAlign w:val="superscript"/>
    </w:rPr>
  </w:style>
  <w:style w:type="paragraph" w:styleId="937">
    <w:name w:val="toc 1"/>
    <w:basedOn w:val="756"/>
    <w:next w:val="756"/>
    <w:uiPriority w:val="39"/>
    <w:unhideWhenUsed/>
    <w:pPr>
      <w:spacing w:after="57"/>
    </w:pPr>
  </w:style>
  <w:style w:type="paragraph" w:styleId="938">
    <w:name w:val="toc 2"/>
    <w:basedOn w:val="756"/>
    <w:next w:val="756"/>
    <w:uiPriority w:val="39"/>
    <w:unhideWhenUsed/>
    <w:pPr>
      <w:ind w:left="283"/>
      <w:spacing w:after="57"/>
    </w:pPr>
  </w:style>
  <w:style w:type="paragraph" w:styleId="939">
    <w:name w:val="toc 3"/>
    <w:basedOn w:val="756"/>
    <w:next w:val="756"/>
    <w:uiPriority w:val="39"/>
    <w:unhideWhenUsed/>
    <w:pPr>
      <w:ind w:left="567"/>
      <w:spacing w:after="57"/>
    </w:pPr>
  </w:style>
  <w:style w:type="paragraph" w:styleId="940">
    <w:name w:val="toc 4"/>
    <w:basedOn w:val="756"/>
    <w:next w:val="756"/>
    <w:uiPriority w:val="39"/>
    <w:unhideWhenUsed/>
    <w:pPr>
      <w:ind w:left="850"/>
      <w:spacing w:after="57"/>
    </w:pPr>
  </w:style>
  <w:style w:type="paragraph" w:styleId="941">
    <w:name w:val="toc 5"/>
    <w:basedOn w:val="756"/>
    <w:next w:val="756"/>
    <w:uiPriority w:val="39"/>
    <w:unhideWhenUsed/>
    <w:pPr>
      <w:ind w:left="1134"/>
      <w:spacing w:after="57"/>
    </w:pPr>
  </w:style>
  <w:style w:type="paragraph" w:styleId="942">
    <w:name w:val="toc 6"/>
    <w:basedOn w:val="756"/>
    <w:next w:val="756"/>
    <w:uiPriority w:val="39"/>
    <w:unhideWhenUsed/>
    <w:pPr>
      <w:ind w:left="1417"/>
      <w:spacing w:after="57"/>
    </w:pPr>
  </w:style>
  <w:style w:type="paragraph" w:styleId="943">
    <w:name w:val="toc 7"/>
    <w:basedOn w:val="756"/>
    <w:next w:val="756"/>
    <w:uiPriority w:val="39"/>
    <w:unhideWhenUsed/>
    <w:pPr>
      <w:ind w:left="1701"/>
      <w:spacing w:after="57"/>
    </w:pPr>
  </w:style>
  <w:style w:type="paragraph" w:styleId="944">
    <w:name w:val="toc 8"/>
    <w:basedOn w:val="756"/>
    <w:next w:val="756"/>
    <w:uiPriority w:val="39"/>
    <w:unhideWhenUsed/>
    <w:pPr>
      <w:ind w:left="1984"/>
      <w:spacing w:after="57"/>
    </w:pPr>
  </w:style>
  <w:style w:type="paragraph" w:styleId="945">
    <w:name w:val="toc 9"/>
    <w:basedOn w:val="756"/>
    <w:next w:val="756"/>
    <w:uiPriority w:val="39"/>
    <w:unhideWhenUsed/>
    <w:pPr>
      <w:ind w:left="2268"/>
      <w:spacing w:after="57"/>
    </w:pPr>
  </w:style>
  <w:style w:type="paragraph" w:styleId="946">
    <w:name w:val="TOC Heading"/>
    <w:uiPriority w:val="39"/>
    <w:unhideWhenUsed/>
  </w:style>
  <w:style w:type="paragraph" w:styleId="947">
    <w:name w:val="table of figures"/>
    <w:basedOn w:val="756"/>
    <w:next w:val="756"/>
    <w:uiPriority w:val="99"/>
    <w:unhideWhenUsed/>
  </w:style>
  <w:style w:type="paragraph" w:styleId="948">
    <w:name w:val="Body Text"/>
    <w:basedOn w:val="756"/>
    <w:link w:val="962"/>
    <w:semiHidden/>
    <w:pPr>
      <w:jc w:val="both"/>
    </w:pPr>
    <w:rPr>
      <w:szCs w:val="20"/>
    </w:rPr>
  </w:style>
  <w:style w:type="paragraph" w:styleId="949">
    <w:name w:val="Body Text Indent"/>
    <w:basedOn w:val="756"/>
    <w:link w:val="963"/>
    <w:semiHidden/>
    <w:pPr>
      <w:ind w:firstLine="708"/>
      <w:jc w:val="both"/>
      <w:spacing w:line="360" w:lineRule="auto"/>
    </w:pPr>
  </w:style>
  <w:style w:type="paragraph" w:styleId="950">
    <w:name w:val="Body Text Indent 2"/>
    <w:basedOn w:val="756"/>
    <w:link w:val="951"/>
    <w:semiHidden/>
    <w:pPr>
      <w:ind w:firstLine="708"/>
      <w:jc w:val="both"/>
    </w:pPr>
    <w:rPr>
      <w:sz w:val="28"/>
    </w:rPr>
  </w:style>
  <w:style w:type="character" w:styleId="951" w:customStyle="1">
    <w:name w:val="Основной текст с отступом 2 Знак"/>
    <w:link w:val="950"/>
    <w:semiHidden/>
    <w:rPr>
      <w:sz w:val="28"/>
      <w:szCs w:val="24"/>
    </w:rPr>
  </w:style>
  <w:style w:type="paragraph" w:styleId="952" w:customStyle="1">
    <w:name w:val="Знак Знак Знак Знак Знак Знак Знак"/>
    <w:basedOn w:val="756"/>
    <w:pPr>
      <w:spacing w:after="160" w:line="240" w:lineRule="exact"/>
    </w:pPr>
    <w:rPr>
      <w:rFonts w:ascii="Verdana" w:hAnsi="Verdana"/>
      <w:lang w:val="en-US" w:eastAsia="en-US"/>
    </w:rPr>
  </w:style>
  <w:style w:type="paragraph" w:styleId="953">
    <w:name w:val="Balloon Text"/>
    <w:basedOn w:val="756"/>
    <w:link w:val="954"/>
    <w:uiPriority w:val="99"/>
    <w:semiHidden/>
    <w:unhideWhenUsed/>
    <w:rPr>
      <w:rFonts w:ascii="Tahoma" w:hAnsi="Tahoma"/>
      <w:sz w:val="16"/>
      <w:szCs w:val="16"/>
    </w:rPr>
  </w:style>
  <w:style w:type="character" w:styleId="954" w:customStyle="1">
    <w:name w:val="Текст выноски Знак"/>
    <w:link w:val="953"/>
    <w:uiPriority w:val="99"/>
    <w:semiHidden/>
    <w:rPr>
      <w:rFonts w:ascii="Tahoma" w:hAnsi="Tahoma" w:cs="Tahoma"/>
      <w:sz w:val="16"/>
      <w:szCs w:val="16"/>
    </w:rPr>
  </w:style>
  <w:style w:type="paragraph" w:styleId="955">
    <w:name w:val="Header"/>
    <w:basedOn w:val="756"/>
    <w:link w:val="956"/>
    <w:unhideWhenUsed/>
    <w:pPr>
      <w:tabs>
        <w:tab w:val="center" w:pos="4677" w:leader="none"/>
        <w:tab w:val="right" w:pos="9355" w:leader="none"/>
      </w:tabs>
    </w:pPr>
  </w:style>
  <w:style w:type="character" w:styleId="956" w:customStyle="1">
    <w:name w:val="Верхний колонтитул Знак"/>
    <w:link w:val="955"/>
    <w:rPr>
      <w:sz w:val="24"/>
      <w:szCs w:val="24"/>
    </w:rPr>
  </w:style>
  <w:style w:type="paragraph" w:styleId="957">
    <w:name w:val="Footer"/>
    <w:basedOn w:val="756"/>
    <w:link w:val="958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58" w:customStyle="1">
    <w:name w:val="Нижний колонтитул Знак"/>
    <w:link w:val="957"/>
    <w:uiPriority w:val="99"/>
    <w:semiHidden/>
    <w:rPr>
      <w:sz w:val="24"/>
      <w:szCs w:val="24"/>
    </w:rPr>
  </w:style>
  <w:style w:type="character" w:styleId="959">
    <w:name w:val="Hyperlink"/>
    <w:uiPriority w:val="99"/>
    <w:unhideWhenUsed/>
    <w:rPr>
      <w:color w:val="0563c1"/>
      <w:u w:val="single"/>
    </w:rPr>
  </w:style>
  <w:style w:type="table" w:styleId="960">
    <w:name w:val="Table Grid"/>
    <w:basedOn w:val="767"/>
    <w:uiPriority w:val="39"/>
    <w:pPr>
      <w:ind w:left="1160" w:right="1000"/>
      <w:jc w:val="center"/>
      <w:spacing w:before="740" w:line="256" w:lineRule="auto"/>
      <w:widowControl w:val="off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61">
    <w:name w:val="page number"/>
  </w:style>
  <w:style w:type="character" w:styleId="962" w:customStyle="1">
    <w:name w:val="Основной текст Знак"/>
    <w:basedOn w:val="766"/>
    <w:link w:val="948"/>
    <w:semiHidden/>
    <w:rPr>
      <w:sz w:val="24"/>
    </w:rPr>
  </w:style>
  <w:style w:type="character" w:styleId="963" w:customStyle="1">
    <w:name w:val="Основной текст с отступом Знак"/>
    <w:basedOn w:val="766"/>
    <w:link w:val="949"/>
    <w:semiHidden/>
    <w:rPr>
      <w:sz w:val="24"/>
      <w:szCs w:val="24"/>
    </w:rPr>
  </w:style>
  <w:style w:type="character" w:styleId="964" w:customStyle="1">
    <w:name w:val="Заголовок 2 Знак"/>
    <w:basedOn w:val="766"/>
    <w:link w:val="758"/>
    <w:rPr>
      <w:sz w:val="28"/>
      <w:szCs w:val="24"/>
    </w:rPr>
  </w:style>
  <w:style w:type="paragraph" w:styleId="965" w:customStyle="1">
    <w:name w:val="ConsPlusNormal"/>
    <w:pPr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cs="Calibri" w:eastAsiaTheme="minorEastAsia"/>
    </w:rPr>
  </w:style>
  <w:style w:type="paragraph" w:styleId="966" w:customStyle="1">
    <w:name w:val="ConsPlusTitle"/>
    <w:pPr>
      <w:widowControl w:val="off"/>
    </w:pPr>
    <w:rPr>
      <w:rFonts w:ascii="Calibri" w:hAnsi="Calibri" w:cs="Calibri" w:eastAsiaTheme="minorEastAsia"/>
      <w:b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footer" Target="footer1.xml" /><Relationship Id="rId14" Type="http://schemas.openxmlformats.org/officeDocument/2006/relationships/customXml" Target="../customXml/item1.xml" /><Relationship Id="rId15" Type="http://schemas.openxmlformats.org/officeDocument/2006/relationships/hyperlink" Target="https://login.consultant.ru/link/?req=doc&amp;base=LAW&amp;n=512724&amp;dst=100504" TargetMode="External"/><Relationship Id="rId16" Type="http://schemas.openxmlformats.org/officeDocument/2006/relationships/hyperlink" Target="https://torgi.gov.ru" TargetMode="External"/><Relationship Id="rId17" Type="http://schemas.openxmlformats.org/officeDocument/2006/relationships/hyperlink" Target="https://login.consultant.ru/link/?req=doc&amp;base=LAW&amp;n=512724&amp;dst=199" TargetMode="External"/><Relationship Id="rId18" Type="http://schemas.openxmlformats.org/officeDocument/2006/relationships/hyperlink" Target="https://login.consultant.ru/link/?req=doc&amp;base=LAW&amp;n=512724&amp;dst=445" TargetMode="External"/><Relationship Id="rId19" Type="http://schemas.openxmlformats.org/officeDocument/2006/relationships/hyperlink" Target="https://login.consultant.ru/link/?req=doc&amp;base=LAW&amp;n=473424&amp;dst=100011" TargetMode="External"/><Relationship Id="rId20" Type="http://schemas.openxmlformats.org/officeDocument/2006/relationships/hyperlink" Target="https://login.consultant.ru/link/?req=doc&amp;base=LAW&amp;n=512724&amp;dst=199" TargetMode="External"/><Relationship Id="rId21" Type="http://schemas.openxmlformats.org/officeDocument/2006/relationships/hyperlink" Target="https://login.consultant.ru/link/?req=doc&amp;base=LAW&amp;n=512724&amp;dst=199" TargetMode="External"/><Relationship Id="rId22" Type="http://schemas.openxmlformats.org/officeDocument/2006/relationships/hyperlink" Target="https://login.consultant.ru/link/?req=doc&amp;base=LAW&amp;n=463203&amp;dst=100009" TargetMode="External"/><Relationship Id="rId23" Type="http://schemas.openxmlformats.org/officeDocument/2006/relationships/hyperlink" Target="https://login.consultant.ru/link/?req=doc&amp;base=LAW&amp;n=512724&amp;dst=683" TargetMode="External"/><Relationship Id="rId24" Type="http://schemas.openxmlformats.org/officeDocument/2006/relationships/hyperlink" Target="https://login.consultant.ru/link/?req=doc&amp;base=LAW&amp;n=512724&amp;dst=684" TargetMode="External"/><Relationship Id="rId25" Type="http://schemas.openxmlformats.org/officeDocument/2006/relationships/hyperlink" Target="https://login.consultant.ru/link/?req=doc&amp;base=LAW&amp;n=512724&amp;dst=199" TargetMode="External"/><Relationship Id="rId26" Type="http://schemas.openxmlformats.org/officeDocument/2006/relationships/hyperlink" Target="https://login.consultant.ru/link/?req=doc&amp;base=LAW&amp;n=512724&amp;dst=698" TargetMode="External"/><Relationship Id="rId27" Type="http://schemas.openxmlformats.org/officeDocument/2006/relationships/hyperlink" Target="https://login.consultant.ru/link/?req=doc&amp;base=LAW&amp;n=512724&amp;dst=683" TargetMode="External"/><Relationship Id="rId28" Type="http://schemas.openxmlformats.org/officeDocument/2006/relationships/hyperlink" Target="https://login.consultant.ru/link/?req=doc&amp;base=LAW&amp;n=512724&amp;dst=684" TargetMode="External"/><Relationship Id="rId29" Type="http://schemas.openxmlformats.org/officeDocument/2006/relationships/hyperlink" Target="https://login.consultant.ru/link/?req=doc&amp;base=LAW&amp;n=512724&amp;dst=199" TargetMode="External"/><Relationship Id="rId30" Type="http://schemas.openxmlformats.org/officeDocument/2006/relationships/hyperlink" Target="https://login.consultant.ru/link/?req=doc&amp;base=LAW&amp;n=512724&amp;dst=698" TargetMode="External"/><Relationship Id="rId31" Type="http://schemas.openxmlformats.org/officeDocument/2006/relationships/hyperlink" Target="https://login.consultant.ru/link/?req=doc&amp;base=LAW&amp;n=512724&amp;dst=207" TargetMode="External"/><Relationship Id="rId32" Type="http://schemas.openxmlformats.org/officeDocument/2006/relationships/hyperlink" Target="https://login.consultant.ru/link/?req=doc&amp;base=LAW&amp;n=512724&amp;dst=202" TargetMode="External"/><Relationship Id="rId33" Type="http://schemas.openxmlformats.org/officeDocument/2006/relationships/hyperlink" Target="https://login.consultant.ru/link/?req=doc&amp;base=LAW&amp;n=512724&amp;dst=207" TargetMode="External"/><Relationship Id="rId34" Type="http://schemas.openxmlformats.org/officeDocument/2006/relationships/hyperlink" Target="https://login.consultant.ru/link/?req=doc&amp;base=LAW&amp;n=512724&amp;dst=686" TargetMode="External"/><Relationship Id="rId35" Type="http://schemas.openxmlformats.org/officeDocument/2006/relationships/hyperlink" Target="https://login.consultant.ru/link/?req=doc&amp;base=LAW&amp;n=512724&amp;dst=697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30CE-6C22-45E2-82C8-0BD18E283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Р7-Офис/2024.3.2.584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Deucel</dc:creator>
  <cp:keywords/>
  <dc:description/>
  <cp:revision>30</cp:revision>
  <dcterms:created xsi:type="dcterms:W3CDTF">2024-01-16T14:22:00Z</dcterms:created>
  <dcterms:modified xsi:type="dcterms:W3CDTF">2026-06-10T07:20:51Z</dcterms:modified>
</cp:coreProperties>
</file>